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7AB3" w:rsidRDefault="006C3B38">
      <w:pPr>
        <w:pStyle w:val="Title"/>
      </w:pPr>
      <w:r>
        <w:t>Use Case Title</w:t>
      </w:r>
      <w:r w:rsidR="00155FE2">
        <w:t xml:space="preserve"> and Description</w:t>
      </w:r>
    </w:p>
    <w:p w:rsidR="00667AB3" w:rsidRDefault="000D12D2">
      <w:pPr>
        <w:rPr>
          <w:rFonts w:ascii="Arial" w:hAnsi="Arial" w:cs="Arial"/>
        </w:rPr>
      </w:pPr>
      <w:r w:rsidRPr="00CC655E">
        <w:rPr>
          <w:rFonts w:ascii="Arial" w:hAnsi="Arial" w:cs="Arial"/>
        </w:rPr>
        <w:t>Demand Charge Mitigation</w:t>
      </w:r>
    </w:p>
    <w:p w:rsidR="00155FE2" w:rsidRPr="00CC655E" w:rsidRDefault="00155FE2">
      <w:pPr>
        <w:rPr>
          <w:rFonts w:ascii="Arial" w:hAnsi="Arial" w:cs="Arial"/>
        </w:rPr>
      </w:pPr>
      <w:r w:rsidRPr="00155FE2">
        <w:rPr>
          <w:rFonts w:ascii="Arial" w:hAnsi="Arial" w:cs="Arial"/>
        </w:rPr>
        <w:t>Reduce EV charging or export from EV to reduce a customer's peak demand at their utility meter, thereby reducing overall energy cost.</w:t>
      </w:r>
    </w:p>
    <w:p w:rsidR="00667AB3" w:rsidRDefault="006C3B38">
      <w:pPr>
        <w:pStyle w:val="Heading1"/>
      </w:pPr>
      <w:r>
        <w:t>Use Case Summary</w:t>
      </w:r>
    </w:p>
    <w:p w:rsidR="00CC655E" w:rsidRDefault="00CC655E" w:rsidP="00CC655E">
      <w:pPr>
        <w:rPr>
          <w:rFonts w:ascii="Arial" w:hAnsi="Arial" w:cs="Arial"/>
        </w:rPr>
      </w:pPr>
      <w:r>
        <w:rPr>
          <w:rFonts w:ascii="Arial" w:hAnsi="Arial" w:cs="Arial"/>
        </w:rPr>
        <w:t xml:space="preserve">This use case details the process for an </w:t>
      </w:r>
      <w:r w:rsidRPr="0023467A">
        <w:rPr>
          <w:rFonts w:ascii="Arial" w:hAnsi="Arial" w:cs="Arial"/>
        </w:rPr>
        <w:t xml:space="preserve">Optimized Energy Transfer </w:t>
      </w:r>
      <w:r>
        <w:rPr>
          <w:rFonts w:ascii="Arial" w:hAnsi="Arial" w:cs="Arial"/>
        </w:rPr>
        <w:t>program</w:t>
      </w:r>
      <w:r>
        <w:rPr>
          <w:rFonts w:ascii="Arial" w:hAnsi="Arial" w:cs="Arial"/>
        </w:rPr>
        <w:t xml:space="preserve"> described in SAE J2836/1™</w:t>
      </w:r>
      <w:r>
        <w:rPr>
          <w:rFonts w:ascii="Arial" w:hAnsi="Arial" w:cs="Arial"/>
        </w:rPr>
        <w:t xml:space="preserve"> </w:t>
      </w:r>
      <w:r>
        <w:rPr>
          <w:rFonts w:ascii="Arial" w:hAnsi="Arial" w:cs="Arial"/>
        </w:rPr>
        <w:t xml:space="preserve">for Plug-in Electric Vehicle Charging and couples with the Distributed Energy Resource (DER) process for discharging described in J2836/3™. </w:t>
      </w:r>
      <w:r w:rsidR="00155FE2">
        <w:rPr>
          <w:rFonts w:ascii="Arial" w:hAnsi="Arial" w:cs="Arial"/>
        </w:rPr>
        <w:t xml:space="preserve">These SAE standards complement IEEE 2030.5 - </w:t>
      </w:r>
      <w:r w:rsidR="00155FE2" w:rsidRPr="00155FE2">
        <w:rPr>
          <w:rFonts w:ascii="Arial" w:hAnsi="Arial" w:cs="Arial"/>
        </w:rPr>
        <w:t>IEEE Adoption of Smart Energy Profile 2.0 Application Protocol Standard.</w:t>
      </w:r>
    </w:p>
    <w:p w:rsidR="00667AB3" w:rsidRDefault="006C3B38">
      <w:pPr>
        <w:pStyle w:val="Heading1"/>
      </w:pPr>
      <w:r>
        <w:t>Use Case Detailed Narrative</w:t>
      </w:r>
    </w:p>
    <w:p w:rsidR="00CC655E" w:rsidRPr="00055B4C" w:rsidRDefault="00CC655E" w:rsidP="00CC655E">
      <w:pPr>
        <w:rPr>
          <w:rFonts w:ascii="Arial" w:hAnsi="Arial" w:cs="Arial"/>
        </w:rPr>
      </w:pPr>
      <w:r w:rsidRPr="00055B4C">
        <w:rPr>
          <w:rFonts w:ascii="Arial" w:hAnsi="Arial" w:cs="Arial"/>
        </w:rPr>
        <w:t xml:space="preserve">This use case </w:t>
      </w:r>
      <w:r w:rsidRPr="00055B4C">
        <w:rPr>
          <w:rFonts w:ascii="Arial" w:hAnsi="Arial" w:cs="Arial"/>
        </w:rPr>
        <w:t xml:space="preserve">includes the applicable price program described in U1 or U4 or U5 described in J2836/1 coupled with the DR program in U2 then by monitoring the metering information at the site, Use Case U5 is applied dynamically to start the charging session at the lowest price, curtailed or delayed by any DR signal and </w:t>
      </w:r>
      <w:r w:rsidR="00513F52">
        <w:rPr>
          <w:rFonts w:ascii="Arial" w:hAnsi="Arial" w:cs="Arial"/>
        </w:rPr>
        <w:t xml:space="preserve">total energy level is </w:t>
      </w:r>
      <w:r w:rsidRPr="00055B4C">
        <w:rPr>
          <w:rFonts w:ascii="Arial" w:hAnsi="Arial" w:cs="Arial"/>
        </w:rPr>
        <w:t xml:space="preserve">maintained below any Demand Charge Limit </w:t>
      </w:r>
      <w:r w:rsidR="00513F52">
        <w:rPr>
          <w:rFonts w:ascii="Arial" w:hAnsi="Arial" w:cs="Arial"/>
        </w:rPr>
        <w:t>for</w:t>
      </w:r>
      <w:r w:rsidRPr="00055B4C">
        <w:rPr>
          <w:rFonts w:ascii="Arial" w:hAnsi="Arial" w:cs="Arial"/>
        </w:rPr>
        <w:t xml:space="preserve"> the site. </w:t>
      </w:r>
      <w:r w:rsidR="006034B2">
        <w:rPr>
          <w:rFonts w:ascii="Arial" w:hAnsi="Arial" w:cs="Arial"/>
        </w:rPr>
        <w:t xml:space="preserve">Use cases </w:t>
      </w:r>
      <w:r w:rsidR="00C81AD8">
        <w:rPr>
          <w:rFonts w:ascii="Arial" w:hAnsi="Arial" w:cs="Arial"/>
        </w:rPr>
        <w:t>U6 &amp; U7 are described in J2836/3.</w:t>
      </w:r>
    </w:p>
    <w:p w:rsidR="00CC655E" w:rsidRPr="00055B4C" w:rsidRDefault="00CC655E" w:rsidP="00CC655E">
      <w:pPr>
        <w:ind w:left="720"/>
        <w:rPr>
          <w:rFonts w:ascii="Arial" w:hAnsi="Arial" w:cs="Arial"/>
        </w:rPr>
      </w:pPr>
      <w:r w:rsidRPr="00055B4C">
        <w:rPr>
          <w:rFonts w:ascii="Arial" w:hAnsi="Arial" w:cs="Arial"/>
        </w:rPr>
        <w:t>U1: Time-Of-Use (TOU) Rates / Tariffs / Programs (Load Shifting)</w:t>
      </w:r>
    </w:p>
    <w:p w:rsidR="00CC655E" w:rsidRPr="00055B4C" w:rsidRDefault="00CC655E" w:rsidP="00CC655E">
      <w:pPr>
        <w:ind w:left="720"/>
        <w:rPr>
          <w:rFonts w:ascii="Arial" w:hAnsi="Arial" w:cs="Arial"/>
        </w:rPr>
      </w:pPr>
      <w:r w:rsidRPr="00055B4C">
        <w:rPr>
          <w:rFonts w:ascii="Arial" w:hAnsi="Arial" w:cs="Arial"/>
        </w:rPr>
        <w:t>U2: Direct Load Control Programs (Demand Response)</w:t>
      </w:r>
    </w:p>
    <w:p w:rsidR="00CC655E" w:rsidRPr="00055B4C" w:rsidRDefault="00CC655E" w:rsidP="00CC655E">
      <w:pPr>
        <w:ind w:left="720"/>
        <w:rPr>
          <w:rFonts w:ascii="Arial" w:hAnsi="Arial" w:cs="Arial"/>
        </w:rPr>
      </w:pPr>
      <w:r w:rsidRPr="00055B4C">
        <w:rPr>
          <w:rFonts w:ascii="Arial" w:hAnsi="Arial" w:cs="Arial"/>
        </w:rPr>
        <w:t>U3: Real Time Pricing (RTP: Load Shifting / Demand Response) (Active Management)</w:t>
      </w:r>
    </w:p>
    <w:p w:rsidR="00CC655E" w:rsidRPr="00055B4C" w:rsidRDefault="00CC655E" w:rsidP="00CC655E">
      <w:pPr>
        <w:ind w:left="720"/>
        <w:rPr>
          <w:rFonts w:ascii="Arial" w:hAnsi="Arial" w:cs="Arial"/>
        </w:rPr>
      </w:pPr>
      <w:r w:rsidRPr="00055B4C">
        <w:rPr>
          <w:rFonts w:ascii="Arial" w:hAnsi="Arial" w:cs="Arial"/>
        </w:rPr>
        <w:t>U4: Critical Peak Pricing (CPP / Load Shifting / Demand Response)</w:t>
      </w:r>
    </w:p>
    <w:p w:rsidR="00667AB3" w:rsidRDefault="00CC655E" w:rsidP="00CC655E">
      <w:pPr>
        <w:ind w:left="720"/>
        <w:rPr>
          <w:rFonts w:ascii="Arial" w:hAnsi="Arial" w:cs="Arial"/>
        </w:rPr>
      </w:pPr>
      <w:r w:rsidRPr="00055B4C">
        <w:rPr>
          <w:rFonts w:ascii="Arial" w:hAnsi="Arial" w:cs="Arial"/>
        </w:rPr>
        <w:t>U5: Optimized Energy Transfer Programs (Demand Response, Regulation Services, etc.)</w:t>
      </w:r>
    </w:p>
    <w:p w:rsidR="00C81AD8" w:rsidRDefault="00C81AD8" w:rsidP="00CC655E">
      <w:pPr>
        <w:ind w:left="720"/>
        <w:rPr>
          <w:rFonts w:ascii="Arial" w:hAnsi="Arial" w:cs="Arial"/>
        </w:rPr>
      </w:pPr>
      <w:r>
        <w:rPr>
          <w:rFonts w:ascii="Arial" w:hAnsi="Arial" w:cs="Arial"/>
        </w:rPr>
        <w:t>U6: Basic DER</w:t>
      </w:r>
    </w:p>
    <w:p w:rsidR="00C81AD8" w:rsidRPr="00055B4C" w:rsidRDefault="00C81AD8" w:rsidP="00CC655E">
      <w:pPr>
        <w:ind w:left="720"/>
        <w:rPr>
          <w:rFonts w:ascii="Arial" w:hAnsi="Arial" w:cs="Arial"/>
        </w:rPr>
      </w:pPr>
      <w:r>
        <w:rPr>
          <w:rFonts w:ascii="Arial" w:hAnsi="Arial" w:cs="Arial"/>
        </w:rPr>
        <w:t>U7: Advanced DER</w:t>
      </w:r>
    </w:p>
    <w:p w:rsidR="00667AB3" w:rsidRDefault="006C3B38">
      <w:pPr>
        <w:pStyle w:val="Heading1"/>
      </w:pPr>
      <w:r>
        <w:t>Business Rules &amp; Assumptions</w:t>
      </w:r>
    </w:p>
    <w:p w:rsidR="00513F52" w:rsidRDefault="00513F52" w:rsidP="00513F52">
      <w:pPr>
        <w:pStyle w:val="EPRIBulletedList"/>
        <w:rPr>
          <w:rFonts w:cs="Arial"/>
          <w:color w:val="000000"/>
        </w:rPr>
      </w:pPr>
      <w:r>
        <w:t>PEV Customer has an account with utility and electrical service at a premise served by the utility.</w:t>
      </w:r>
    </w:p>
    <w:p w:rsidR="00513F52" w:rsidRDefault="00513F52" w:rsidP="00513F52">
      <w:pPr>
        <w:pStyle w:val="EPRIBulletedList"/>
        <w:rPr>
          <w:rFonts w:cs="Arial"/>
          <w:color w:val="000000"/>
        </w:rPr>
      </w:pPr>
      <w:r>
        <w:rPr>
          <w:rFonts w:cs="Arial"/>
          <w:color w:val="000000"/>
        </w:rPr>
        <w:t xml:space="preserve">PEV and utility </w:t>
      </w:r>
      <w:r>
        <w:rPr>
          <w:rFonts w:cs="Arial"/>
          <w:color w:val="000000"/>
        </w:rPr>
        <w:t>has</w:t>
      </w:r>
      <w:r>
        <w:rPr>
          <w:rFonts w:cs="Arial"/>
          <w:color w:val="000000"/>
        </w:rPr>
        <w:t xml:space="preserve"> communications capabilities, enabled by utility provided Energy Services Interface (ESI).</w:t>
      </w:r>
    </w:p>
    <w:p w:rsidR="00513F52" w:rsidRPr="002C0DD5" w:rsidRDefault="00513F52" w:rsidP="00513F52">
      <w:pPr>
        <w:pStyle w:val="EPRIBulletedList"/>
        <w:rPr>
          <w:rFonts w:cs="Arial"/>
          <w:color w:val="000000"/>
        </w:rPr>
      </w:pPr>
      <w:r w:rsidRPr="002C0DD5">
        <w:rPr>
          <w:bCs/>
          <w:iCs/>
        </w:rPr>
        <w:t>The customer awareness of the utility and vehicle programs is prompted by both the utility providers and the vehicle manufacturers.</w:t>
      </w:r>
    </w:p>
    <w:p w:rsidR="00513F52" w:rsidRDefault="00513F52" w:rsidP="00513F52">
      <w:pPr>
        <w:pStyle w:val="EPRISubBulletedList"/>
      </w:pPr>
      <w:r>
        <w:lastRenderedPageBreak/>
        <w:t>The utility offers PEV programs and services for its customers and will provide the necessary support processes for enrollment, communications, and billing</w:t>
      </w:r>
    </w:p>
    <w:p w:rsidR="00513F52" w:rsidRPr="002C0DD5" w:rsidRDefault="00513F52" w:rsidP="00513F52">
      <w:pPr>
        <w:pStyle w:val="EPRISubBulletedList"/>
      </w:pPr>
      <w:r w:rsidRPr="002C0DD5">
        <w:rPr>
          <w:bCs/>
          <w:iCs/>
        </w:rPr>
        <w:t>The Vehicle manufacturers would provide information to the customer about fuel and/or emission gains of the vehicles offered and promote the utility and convenience of connecting to the grid</w:t>
      </w:r>
    </w:p>
    <w:p w:rsidR="00513F52" w:rsidRPr="002C0DD5" w:rsidRDefault="00513F52" w:rsidP="00513F52">
      <w:pPr>
        <w:pStyle w:val="EPRIBulletedList"/>
        <w:rPr>
          <w:rFonts w:cs="Arial"/>
          <w:color w:val="000000"/>
        </w:rPr>
      </w:pPr>
      <w:r w:rsidRPr="002C0DD5">
        <w:t>Utility shall maintain information on all Customers and PEVs enrolled in the PEV programs, including demand side ma</w:t>
      </w:r>
      <w:r>
        <w:t>nagement programs, associated P</w:t>
      </w:r>
      <w:r w:rsidRPr="002C0DD5">
        <w:t>EV IDs, customer IDs, and premise IDs</w:t>
      </w:r>
      <w:r>
        <w:rPr>
          <w:rFonts w:cs="Arial"/>
          <w:color w:val="000000"/>
        </w:rPr>
        <w:t>.</w:t>
      </w:r>
    </w:p>
    <w:p w:rsidR="00513F52" w:rsidRPr="00513F52" w:rsidRDefault="00513F52" w:rsidP="00513F52">
      <w:pPr>
        <w:pStyle w:val="EPRIBulletedList"/>
        <w:rPr>
          <w:rFonts w:cs="Arial"/>
          <w:color w:val="000000"/>
        </w:rPr>
      </w:pPr>
      <w:r>
        <w:rPr>
          <w:rFonts w:cs="Arial"/>
          <w:color w:val="000000"/>
        </w:rPr>
        <w:t>In the absence or failure of PEV-utility communications, or if PEV ID validation fails, PEV charging will always proceed; however, without the incentive rates and with all energy charges accruing to the premise customer according to the premise customer’s default rate/service plan.</w:t>
      </w:r>
    </w:p>
    <w:p w:rsidR="00513F52" w:rsidRPr="003103DC" w:rsidRDefault="00513F52" w:rsidP="00513F52">
      <w:pPr>
        <w:pStyle w:val="EPRIBulletedList"/>
        <w:rPr>
          <w:rFonts w:cs="Arial"/>
          <w:color w:val="000000"/>
        </w:rPr>
      </w:pPr>
      <w:r>
        <w:rPr>
          <w:rFonts w:cs="Arial"/>
          <w:color w:val="000000"/>
        </w:rPr>
        <w:t>End Use Measurement Device (EUMD), either fixed or mobile, is always available for energy validation of PEV charging.  If not available, charging will proceed, but with limitations on incentive rates and with all energy charges accruing to the premise customer.  This may or may not prevent certain charging status indicators / metrics being available to customer for presentation/display purposes.</w:t>
      </w:r>
    </w:p>
    <w:p w:rsidR="00513F52" w:rsidRDefault="00513F52" w:rsidP="00513F52">
      <w:pPr>
        <w:pStyle w:val="EPRIBulletedList"/>
        <w:rPr>
          <w:rFonts w:cs="Arial"/>
          <w:color w:val="000000"/>
        </w:rPr>
      </w:pPr>
      <w:r>
        <w:t>EUMD</w:t>
      </w:r>
      <w:r w:rsidRPr="00F62CFD">
        <w:rPr>
          <w:rFonts w:cs="Arial"/>
          <w:color w:val="000000"/>
        </w:rPr>
        <w:t xml:space="preserve"> function can be</w:t>
      </w:r>
      <w:r>
        <w:rPr>
          <w:rFonts w:cs="Arial"/>
          <w:color w:val="000000"/>
        </w:rPr>
        <w:t xml:space="preserve"> inclusively</w:t>
      </w:r>
      <w:r w:rsidRPr="00F62CFD">
        <w:rPr>
          <w:rFonts w:cs="Arial"/>
          <w:color w:val="000000"/>
        </w:rPr>
        <w:t xml:space="preserve"> located anywhere in a zone from the </w:t>
      </w:r>
      <w:r>
        <w:rPr>
          <w:rFonts w:cs="Arial"/>
          <w:color w:val="000000"/>
        </w:rPr>
        <w:t>PEV</w:t>
      </w:r>
      <w:r w:rsidRPr="00F62CFD">
        <w:rPr>
          <w:rFonts w:cs="Arial"/>
          <w:color w:val="000000"/>
        </w:rPr>
        <w:t xml:space="preserve"> and the branch circuit panel connection.</w:t>
      </w:r>
    </w:p>
    <w:p w:rsidR="00513F52" w:rsidRPr="002C0DD5" w:rsidRDefault="00513F52" w:rsidP="00513F52">
      <w:pPr>
        <w:pStyle w:val="EPRIBulletedList"/>
        <w:rPr>
          <w:rFonts w:cs="Arial"/>
          <w:color w:val="000000"/>
        </w:rPr>
      </w:pPr>
      <w:r>
        <w:t>To allow for possibility of the EUMD being a part of/within the PEV, PEV is a sub-meter to the primary utility billing meter at any premise (as opposed to being a separate service account with dual meter socket adapter)</w:t>
      </w:r>
    </w:p>
    <w:p w:rsidR="00513F52" w:rsidRDefault="00513F52" w:rsidP="00513F52">
      <w:pPr>
        <w:pStyle w:val="EPRIBulletedList"/>
        <w:rPr>
          <w:rFonts w:cs="Arial"/>
        </w:rPr>
      </w:pPr>
      <w:r w:rsidRPr="007B3C70">
        <w:rPr>
          <w:rFonts w:cs="Arial"/>
        </w:rPr>
        <w:t xml:space="preserve">The </w:t>
      </w:r>
      <w:r>
        <w:rPr>
          <w:rFonts w:cs="Arial"/>
        </w:rPr>
        <w:t>P</w:t>
      </w:r>
      <w:r w:rsidRPr="007B3C70">
        <w:rPr>
          <w:rFonts w:cs="Arial"/>
        </w:rPr>
        <w:t xml:space="preserve">EV &amp; Utility will communicate to implement one or more the </w:t>
      </w:r>
      <w:r>
        <w:rPr>
          <w:rFonts w:cs="Arial"/>
        </w:rPr>
        <w:t>previously described</w:t>
      </w:r>
      <w:r w:rsidRPr="007B3C70">
        <w:rPr>
          <w:rFonts w:cs="Arial"/>
        </w:rPr>
        <w:t xml:space="preserve"> Utility programs</w:t>
      </w:r>
      <w:r>
        <w:rPr>
          <w:rFonts w:cs="Arial"/>
        </w:rPr>
        <w:t>.</w:t>
      </w:r>
    </w:p>
    <w:p w:rsidR="00667AB3" w:rsidRDefault="006C3B38">
      <w:pPr>
        <w:pStyle w:val="Heading1"/>
      </w:pPr>
      <w:r>
        <w:t>Actors</w:t>
      </w:r>
    </w:p>
    <w:p w:rsidR="00667AB3" w:rsidRDefault="006C3B38">
      <w:pPr>
        <w:rPr>
          <w:rFonts w:ascii="MS Mincho" w:eastAsia="MS Mincho" w:hAnsi="MS Mincho" w:cs="MS Mincho"/>
          <w:sz w:val="20"/>
          <w:szCs w:val="20"/>
        </w:rPr>
      </w:pPr>
      <w:r>
        <w:rPr>
          <w:i/>
          <w:sz w:val="22"/>
          <w:szCs w:val="22"/>
        </w:rPr>
        <w:t xml:space="preserve">Describe the primary and secondary actors involved in the use case. This might include all the people (their job), systems, databases, organizations, and devices involved in or affected by the Function (e.g. operators, system administrators, customer, end </w:t>
      </w:r>
      <w:r>
        <w:rPr>
          <w:i/>
          <w:sz w:val="22"/>
          <w:szCs w:val="22"/>
        </w:rPr>
        <w:t>users, service personnel, executives, meter, real-time database, ISO, power system). Actors listed for this use case should be copied from the global actors list to ensure consistency across all use cases.</w:t>
      </w:r>
      <w:r>
        <w:rPr>
          <w:i/>
          <w:sz w:val="20"/>
          <w:szCs w:val="20"/>
        </w:rPr>
        <w:t xml:space="preserve"> </w:t>
      </w:r>
    </w:p>
    <w:p w:rsidR="00667AB3" w:rsidRDefault="006C3B38">
      <w:pPr>
        <w:rPr>
          <w:rFonts w:ascii="MS Mincho" w:eastAsia="MS Mincho" w:hAnsi="MS Mincho" w:cs="MS Mincho"/>
          <w:sz w:val="20"/>
          <w:szCs w:val="20"/>
        </w:rPr>
      </w:pPr>
      <w:r>
        <w:rPr>
          <w:rFonts w:ascii="MS Mincho" w:eastAsia="MS Mincho" w:hAnsi="MS Mincho" w:cs="MS Mincho"/>
          <w:sz w:val="20"/>
          <w:szCs w:val="20"/>
        </w:rPr>
        <w:t> </w:t>
      </w:r>
    </w:p>
    <w:tbl>
      <w:tblPr>
        <w:tblStyle w:val="a"/>
        <w:tblW w:w="117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0"/>
        <w:gridCol w:w="2790"/>
        <w:gridCol w:w="6300"/>
      </w:tblGrid>
      <w:tr w:rsidR="00667AB3" w:rsidTr="00513F52">
        <w:trPr>
          <w:cantSplit/>
          <w:trHeight w:val="620"/>
          <w:tblHeader/>
          <w:jc w:val="center"/>
        </w:trPr>
        <w:tc>
          <w:tcPr>
            <w:tcW w:w="2610" w:type="dxa"/>
            <w:shd w:val="clear" w:color="auto" w:fill="E7E6E6"/>
          </w:tcPr>
          <w:p w:rsidR="00667AB3" w:rsidRDefault="006C3B38">
            <w:pPr>
              <w:contextualSpacing w:val="0"/>
              <w:jc w:val="center"/>
            </w:pPr>
            <w:r>
              <w:t>Actor Name</w:t>
            </w:r>
          </w:p>
        </w:tc>
        <w:tc>
          <w:tcPr>
            <w:tcW w:w="2790" w:type="dxa"/>
            <w:shd w:val="clear" w:color="auto" w:fill="E7E6E6"/>
          </w:tcPr>
          <w:p w:rsidR="00667AB3" w:rsidRDefault="006C3B38">
            <w:pPr>
              <w:contextualSpacing w:val="0"/>
              <w:jc w:val="center"/>
            </w:pPr>
            <w:r>
              <w:t xml:space="preserve">Actor Type (person, device, system, </w:t>
            </w:r>
            <w:r>
              <w:t>etc.)</w:t>
            </w:r>
          </w:p>
        </w:tc>
        <w:tc>
          <w:tcPr>
            <w:tcW w:w="6300" w:type="dxa"/>
            <w:shd w:val="clear" w:color="auto" w:fill="E7E6E6"/>
          </w:tcPr>
          <w:p w:rsidR="00667AB3" w:rsidRDefault="006C3B38">
            <w:pPr>
              <w:contextualSpacing w:val="0"/>
              <w:jc w:val="center"/>
            </w:pPr>
            <w:r>
              <w:t>Actor Description</w:t>
            </w:r>
          </w:p>
        </w:tc>
      </w:tr>
      <w:tr w:rsidR="0080595B" w:rsidTr="00513F52">
        <w:trPr>
          <w:cantSplit/>
          <w:jc w:val="center"/>
        </w:trPr>
        <w:tc>
          <w:tcPr>
            <w:tcW w:w="2610" w:type="dxa"/>
          </w:tcPr>
          <w:p w:rsidR="0080595B" w:rsidRDefault="0080595B">
            <w:pPr>
              <w:contextualSpacing w:val="0"/>
            </w:pPr>
            <w:r w:rsidRPr="00DD4E40">
              <w:rPr>
                <w:rFonts w:cs="Arial"/>
                <w:sz w:val="22"/>
                <w:szCs w:val="22"/>
              </w:rPr>
              <w:t>Charger</w:t>
            </w:r>
          </w:p>
        </w:tc>
        <w:tc>
          <w:tcPr>
            <w:tcW w:w="2790" w:type="dxa"/>
          </w:tcPr>
          <w:p w:rsidR="0080595B" w:rsidRDefault="0080595B">
            <w:pPr>
              <w:contextualSpacing w:val="0"/>
            </w:pPr>
            <w:r w:rsidRPr="00DD4E40">
              <w:rPr>
                <w:rFonts w:cs="Arial"/>
                <w:sz w:val="22"/>
                <w:szCs w:val="22"/>
              </w:rPr>
              <w:t>Device</w:t>
            </w:r>
          </w:p>
        </w:tc>
        <w:tc>
          <w:tcPr>
            <w:tcW w:w="6300" w:type="dxa"/>
          </w:tcPr>
          <w:p w:rsidR="0080595B" w:rsidRDefault="0080595B">
            <w:pPr>
              <w:contextualSpacing w:val="0"/>
            </w:pPr>
            <w:r w:rsidRPr="00DD4E40">
              <w:rPr>
                <w:rFonts w:cs="Arial"/>
                <w:sz w:val="22"/>
                <w:szCs w:val="22"/>
              </w:rPr>
              <w:t xml:space="preserve">The charger can either be on-board the vehicle or off-board. On-board chargers require AC energy transfer to the vehicle </w:t>
            </w:r>
            <w:r>
              <w:rPr>
                <w:rFonts w:cs="Arial"/>
                <w:sz w:val="22"/>
                <w:szCs w:val="22"/>
              </w:rPr>
              <w:t xml:space="preserve">(either 120 or </w:t>
            </w:r>
            <w:r w:rsidR="009A1199">
              <w:rPr>
                <w:rFonts w:cs="Arial"/>
                <w:sz w:val="22"/>
                <w:szCs w:val="22"/>
              </w:rPr>
              <w:t>208/</w:t>
            </w:r>
            <w:r>
              <w:rPr>
                <w:rFonts w:cs="Arial"/>
                <w:sz w:val="22"/>
                <w:szCs w:val="22"/>
              </w:rPr>
              <w:t xml:space="preserve">240V single phase) </w:t>
            </w:r>
            <w:r w:rsidRPr="00DD4E40">
              <w:rPr>
                <w:rFonts w:cs="Arial"/>
                <w:sz w:val="22"/>
                <w:szCs w:val="22"/>
              </w:rPr>
              <w:t>and Off-board chargers are within the EVSE and require DC energy transfer to the vehicle.</w:t>
            </w:r>
          </w:p>
        </w:tc>
      </w:tr>
      <w:tr w:rsidR="0080595B" w:rsidTr="00513F52">
        <w:trPr>
          <w:cantSplit/>
          <w:jc w:val="center"/>
        </w:trPr>
        <w:tc>
          <w:tcPr>
            <w:tcW w:w="2610" w:type="dxa"/>
          </w:tcPr>
          <w:p w:rsidR="0080595B" w:rsidRPr="00DD4E40" w:rsidRDefault="0080595B" w:rsidP="007035B0">
            <w:pPr>
              <w:rPr>
                <w:rFonts w:cs="Arial"/>
                <w:sz w:val="22"/>
                <w:szCs w:val="22"/>
              </w:rPr>
            </w:pPr>
            <w:r w:rsidRPr="00C3120D">
              <w:rPr>
                <w:rFonts w:cs="Arial"/>
                <w:sz w:val="22"/>
                <w:szCs w:val="22"/>
              </w:rPr>
              <w:lastRenderedPageBreak/>
              <w:t>Clearinghouse</w:t>
            </w:r>
          </w:p>
        </w:tc>
        <w:tc>
          <w:tcPr>
            <w:tcW w:w="2790" w:type="dxa"/>
          </w:tcPr>
          <w:p w:rsidR="0080595B" w:rsidRPr="00DD4E40" w:rsidRDefault="0080595B" w:rsidP="007035B0">
            <w:pPr>
              <w:ind w:left="113" w:right="113"/>
              <w:rPr>
                <w:rFonts w:cs="Arial"/>
                <w:sz w:val="22"/>
                <w:szCs w:val="22"/>
              </w:rPr>
            </w:pPr>
            <w:r w:rsidRPr="00C3120D">
              <w:rPr>
                <w:sz w:val="22"/>
                <w:szCs w:val="22"/>
              </w:rPr>
              <w:t>Organization</w:t>
            </w:r>
          </w:p>
        </w:tc>
        <w:tc>
          <w:tcPr>
            <w:tcW w:w="6300" w:type="dxa"/>
          </w:tcPr>
          <w:p w:rsidR="0080595B" w:rsidRPr="00DD4E40" w:rsidRDefault="0080595B" w:rsidP="007035B0">
            <w:pPr>
              <w:ind w:left="113" w:right="113"/>
              <w:rPr>
                <w:rFonts w:cs="Arial"/>
                <w:sz w:val="22"/>
                <w:szCs w:val="22"/>
              </w:rPr>
            </w:pPr>
            <w:r w:rsidRPr="00C3120D">
              <w:rPr>
                <w:rFonts w:cs="Arial"/>
                <w:sz w:val="22"/>
                <w:szCs w:val="22"/>
              </w:rPr>
              <w:t>Organization that provides global PEV account services.  Maintains information necessary to facilitate account validation and billing transaction when Customer is charging PEV at a location not served by the Utility that the Customer is enrolled with.</w:t>
            </w:r>
          </w:p>
        </w:tc>
      </w:tr>
      <w:tr w:rsidR="0080595B" w:rsidTr="00513F52">
        <w:trPr>
          <w:cantSplit/>
          <w:jc w:val="center"/>
        </w:trPr>
        <w:tc>
          <w:tcPr>
            <w:tcW w:w="2610" w:type="dxa"/>
          </w:tcPr>
          <w:p w:rsidR="0080595B" w:rsidRPr="00C3120D" w:rsidRDefault="0080595B" w:rsidP="007035B0">
            <w:pPr>
              <w:rPr>
                <w:rFonts w:cs="Arial"/>
                <w:sz w:val="22"/>
                <w:szCs w:val="22"/>
              </w:rPr>
            </w:pPr>
            <w:r>
              <w:rPr>
                <w:rFonts w:cs="Arial"/>
                <w:sz w:val="22"/>
                <w:szCs w:val="22"/>
              </w:rPr>
              <w:t>Control Device</w:t>
            </w:r>
          </w:p>
        </w:tc>
        <w:tc>
          <w:tcPr>
            <w:tcW w:w="2790" w:type="dxa"/>
          </w:tcPr>
          <w:p w:rsidR="0080595B" w:rsidRPr="00C3120D" w:rsidRDefault="0080595B" w:rsidP="007035B0">
            <w:pPr>
              <w:ind w:left="113" w:right="113"/>
              <w:rPr>
                <w:sz w:val="22"/>
                <w:szCs w:val="22"/>
              </w:rPr>
            </w:pPr>
            <w:r>
              <w:rPr>
                <w:sz w:val="22"/>
                <w:szCs w:val="22"/>
              </w:rPr>
              <w:t>Device</w:t>
            </w:r>
          </w:p>
        </w:tc>
        <w:tc>
          <w:tcPr>
            <w:tcW w:w="6300" w:type="dxa"/>
          </w:tcPr>
          <w:p w:rsidR="0080595B" w:rsidRPr="00C3120D" w:rsidRDefault="0080595B" w:rsidP="007035B0">
            <w:pPr>
              <w:ind w:left="113" w:right="113"/>
              <w:rPr>
                <w:rFonts w:cs="Arial"/>
                <w:sz w:val="22"/>
                <w:szCs w:val="22"/>
              </w:rPr>
            </w:pPr>
            <w:r w:rsidRPr="00AA362F">
              <w:rPr>
                <w:rFonts w:cs="Arial"/>
                <w:sz w:val="22"/>
                <w:szCs w:val="22"/>
              </w:rPr>
              <w:t>D</w:t>
            </w:r>
            <w:r w:rsidR="009A1199">
              <w:rPr>
                <w:rFonts w:cs="Arial"/>
                <w:sz w:val="22"/>
                <w:szCs w:val="22"/>
              </w:rPr>
              <w:t xml:space="preserve">irect </w:t>
            </w:r>
            <w:r w:rsidRPr="00AA362F">
              <w:rPr>
                <w:rFonts w:cs="Arial"/>
                <w:sz w:val="22"/>
                <w:szCs w:val="22"/>
              </w:rPr>
              <w:t>L</w:t>
            </w:r>
            <w:r w:rsidR="009A1199">
              <w:rPr>
                <w:rFonts w:cs="Arial"/>
                <w:sz w:val="22"/>
                <w:szCs w:val="22"/>
              </w:rPr>
              <w:t xml:space="preserve">oad </w:t>
            </w:r>
            <w:r w:rsidRPr="00AA362F">
              <w:rPr>
                <w:rFonts w:cs="Arial"/>
                <w:sz w:val="22"/>
                <w:szCs w:val="22"/>
              </w:rPr>
              <w:t>C</w:t>
            </w:r>
            <w:r w:rsidR="009A1199">
              <w:rPr>
                <w:rFonts w:cs="Arial"/>
                <w:sz w:val="22"/>
                <w:szCs w:val="22"/>
              </w:rPr>
              <w:t>ontrol (DLC)</w:t>
            </w:r>
            <w:r w:rsidRPr="00AA362F">
              <w:rPr>
                <w:rFonts w:cs="Arial"/>
                <w:sz w:val="22"/>
                <w:szCs w:val="22"/>
              </w:rPr>
              <w:t xml:space="preserve"> programs enable utilities to remotely control and/or shut down participating customer equipment on a short notice. A control device is installed. The utility exercises its Call Option by first notifying the participant (to the control device which then sends the signal to the vehicle) that a</w:t>
            </w:r>
            <w:r>
              <w:rPr>
                <w:rFonts w:cs="Arial"/>
                <w:sz w:val="22"/>
                <w:szCs w:val="22"/>
              </w:rPr>
              <w:t>n</w:t>
            </w:r>
            <w:r w:rsidRPr="00AA362F">
              <w:rPr>
                <w:rFonts w:cs="Arial"/>
                <w:sz w:val="22"/>
                <w:szCs w:val="22"/>
              </w:rPr>
              <w:t xml:space="preserve"> event has been declared for the next day</w:t>
            </w:r>
            <w:r>
              <w:rPr>
                <w:rFonts w:cs="Arial"/>
                <w:sz w:val="22"/>
                <w:szCs w:val="22"/>
              </w:rPr>
              <w:t>.</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rFonts w:cs="Arial"/>
                <w:sz w:val="22"/>
                <w:szCs w:val="22"/>
              </w:rPr>
              <w:t>Customer</w:t>
            </w:r>
          </w:p>
        </w:tc>
        <w:tc>
          <w:tcPr>
            <w:tcW w:w="2790" w:type="dxa"/>
          </w:tcPr>
          <w:p w:rsidR="0080595B" w:rsidRPr="00C3120D" w:rsidRDefault="0080595B" w:rsidP="007035B0">
            <w:pPr>
              <w:ind w:left="113" w:right="113"/>
              <w:rPr>
                <w:sz w:val="22"/>
                <w:szCs w:val="22"/>
              </w:rPr>
            </w:pPr>
            <w:r w:rsidRPr="00C3120D">
              <w:rPr>
                <w:sz w:val="22"/>
                <w:szCs w:val="22"/>
              </w:rPr>
              <w:t>Person</w:t>
            </w:r>
          </w:p>
        </w:tc>
        <w:tc>
          <w:tcPr>
            <w:tcW w:w="6300" w:type="dxa"/>
          </w:tcPr>
          <w:p w:rsidR="0080595B" w:rsidRPr="00C3120D" w:rsidRDefault="0080595B" w:rsidP="007035B0">
            <w:pPr>
              <w:ind w:left="113" w:right="113"/>
              <w:rPr>
                <w:rFonts w:cs="Arial"/>
                <w:sz w:val="22"/>
                <w:szCs w:val="22"/>
              </w:rPr>
            </w:pPr>
            <w:r w:rsidRPr="00C3120D">
              <w:rPr>
                <w:rFonts w:cs="Arial"/>
                <w:sz w:val="22"/>
                <w:szCs w:val="22"/>
              </w:rPr>
              <w:t>Customer is the operator of a PEV and an electric customer of the home utility. Customer enrolls in an electric utility PEV program and has selected a PEV rate tariff.  Customer is responsible for connecting PEV to an Energy Portal for charging.</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rFonts w:cs="Arial"/>
                <w:sz w:val="22"/>
                <w:szCs w:val="22"/>
              </w:rPr>
              <w:t>Customer Account</w:t>
            </w:r>
          </w:p>
        </w:tc>
        <w:tc>
          <w:tcPr>
            <w:tcW w:w="2790" w:type="dxa"/>
          </w:tcPr>
          <w:p w:rsidR="0080595B" w:rsidRPr="00C3120D" w:rsidRDefault="0080595B" w:rsidP="007035B0">
            <w:pPr>
              <w:ind w:left="113" w:right="113"/>
              <w:rPr>
                <w:sz w:val="22"/>
                <w:szCs w:val="22"/>
              </w:rPr>
            </w:pPr>
            <w:r w:rsidRPr="00C3120D">
              <w:rPr>
                <w:sz w:val="22"/>
                <w:szCs w:val="22"/>
              </w:rPr>
              <w:t>System</w:t>
            </w:r>
          </w:p>
        </w:tc>
        <w:tc>
          <w:tcPr>
            <w:tcW w:w="6300" w:type="dxa"/>
          </w:tcPr>
          <w:p w:rsidR="0080595B" w:rsidRPr="00C3120D" w:rsidRDefault="0080595B" w:rsidP="007035B0">
            <w:pPr>
              <w:ind w:left="113" w:right="113"/>
              <w:rPr>
                <w:sz w:val="22"/>
                <w:szCs w:val="22"/>
              </w:rPr>
            </w:pPr>
            <w:r w:rsidRPr="00C3120D">
              <w:rPr>
                <w:rFonts w:cs="Arial"/>
                <w:sz w:val="22"/>
                <w:szCs w:val="22"/>
              </w:rPr>
              <w:t>Customer Account is assigned to Customer to collect charges for billing of energy usage</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rFonts w:cs="Arial"/>
                <w:sz w:val="22"/>
                <w:szCs w:val="22"/>
              </w:rPr>
              <w:t>Customer Energy Management System</w:t>
            </w:r>
          </w:p>
        </w:tc>
        <w:tc>
          <w:tcPr>
            <w:tcW w:w="2790" w:type="dxa"/>
          </w:tcPr>
          <w:p w:rsidR="0080595B" w:rsidRPr="00C3120D" w:rsidRDefault="0080595B" w:rsidP="007035B0">
            <w:pPr>
              <w:ind w:left="113" w:right="113"/>
              <w:rPr>
                <w:sz w:val="22"/>
                <w:szCs w:val="22"/>
              </w:rPr>
            </w:pPr>
            <w:r w:rsidRPr="00C3120D">
              <w:rPr>
                <w:sz w:val="22"/>
                <w:szCs w:val="22"/>
              </w:rPr>
              <w:t>System</w:t>
            </w:r>
          </w:p>
        </w:tc>
        <w:tc>
          <w:tcPr>
            <w:tcW w:w="6300" w:type="dxa"/>
          </w:tcPr>
          <w:p w:rsidR="0080595B" w:rsidRPr="00C3120D" w:rsidRDefault="0080595B" w:rsidP="007035B0">
            <w:pPr>
              <w:ind w:left="113" w:right="113"/>
              <w:rPr>
                <w:rFonts w:cs="Arial"/>
                <w:sz w:val="22"/>
                <w:szCs w:val="22"/>
              </w:rPr>
            </w:pPr>
            <w:r w:rsidRPr="00C3120D">
              <w:rPr>
                <w:rFonts w:cs="Arial"/>
                <w:sz w:val="22"/>
                <w:szCs w:val="22"/>
              </w:rPr>
              <w:t>Customer Energy Management System can provide communication interface to PEV for communication of PEV status information (e.g. charging state, state-of-charge, charging rate, time to complete charge) on Customer viewable displays.</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rFonts w:cs="Arial"/>
                <w:sz w:val="22"/>
                <w:szCs w:val="22"/>
              </w:rPr>
              <w:lastRenderedPageBreak/>
              <w:t>Electric Vehicle Supply Equipment</w:t>
            </w:r>
            <w:r>
              <w:rPr>
                <w:rFonts w:cs="Arial"/>
                <w:sz w:val="22"/>
                <w:szCs w:val="22"/>
              </w:rPr>
              <w:t xml:space="preserve"> (EVSE)</w:t>
            </w:r>
          </w:p>
        </w:tc>
        <w:tc>
          <w:tcPr>
            <w:tcW w:w="2790" w:type="dxa"/>
          </w:tcPr>
          <w:p w:rsidR="0080595B" w:rsidRPr="00C3120D" w:rsidRDefault="0080595B" w:rsidP="007035B0">
            <w:pPr>
              <w:ind w:left="113" w:right="113"/>
              <w:rPr>
                <w:sz w:val="22"/>
                <w:szCs w:val="22"/>
              </w:rPr>
            </w:pPr>
            <w:r w:rsidRPr="00C3120D">
              <w:rPr>
                <w:sz w:val="22"/>
                <w:szCs w:val="22"/>
              </w:rPr>
              <w:t>Device</w:t>
            </w:r>
          </w:p>
        </w:tc>
        <w:tc>
          <w:tcPr>
            <w:tcW w:w="6300" w:type="dxa"/>
          </w:tcPr>
          <w:p w:rsidR="0080595B" w:rsidRPr="00C3120D" w:rsidRDefault="0080595B" w:rsidP="009A1199">
            <w:pPr>
              <w:ind w:left="113" w:right="113"/>
              <w:rPr>
                <w:rFonts w:cs="Arial"/>
                <w:sz w:val="22"/>
                <w:szCs w:val="22"/>
              </w:rPr>
            </w:pPr>
            <w:r w:rsidRPr="00C3120D">
              <w:rPr>
                <w:sz w:val="22"/>
                <w:szCs w:val="22"/>
              </w:rPr>
              <w:t xml:space="preserve">PEV connects to the grid using an Electric Vehicle Supply Equipment (EVSE). </w:t>
            </w:r>
            <w:r w:rsidRPr="00C3120D">
              <w:rPr>
                <w:rFonts w:cs="Arial"/>
                <w:sz w:val="22"/>
                <w:szCs w:val="22"/>
              </w:rPr>
              <w:t xml:space="preserve">Electric Vehicle Supply Equipment (EVSE) is the physical electrical cord and connectors that are specified by applicable </w:t>
            </w:r>
            <w:smartTag w:uri="urn:schemas-microsoft-com:office:smarttags" w:element="stockticker">
              <w:r w:rsidRPr="00C3120D">
                <w:rPr>
                  <w:rFonts w:cs="Arial"/>
                  <w:sz w:val="22"/>
                  <w:szCs w:val="22"/>
                </w:rPr>
                <w:t>SAE</w:t>
              </w:r>
            </w:smartTag>
            <w:r w:rsidRPr="00C3120D">
              <w:rPr>
                <w:rFonts w:cs="Arial"/>
                <w:sz w:val="22"/>
                <w:szCs w:val="22"/>
              </w:rPr>
              <w:t xml:space="preserve"> standards (e.g., </w:t>
            </w:r>
            <w:proofErr w:type="gramStart"/>
            <w:smartTag w:uri="urn:schemas-microsoft-com:office:smarttags" w:element="stockticker">
              <w:r w:rsidRPr="00C3120D">
                <w:rPr>
                  <w:rFonts w:cs="Arial"/>
                  <w:sz w:val="22"/>
                  <w:szCs w:val="22"/>
                </w:rPr>
                <w:t>SAE</w:t>
              </w:r>
            </w:smartTag>
            <w:r w:rsidRPr="00C3120D">
              <w:rPr>
                <w:rFonts w:cs="Arial"/>
                <w:sz w:val="22"/>
                <w:szCs w:val="22"/>
              </w:rPr>
              <w:t xml:space="preserve">  </w:t>
            </w:r>
            <w:r>
              <w:rPr>
                <w:rFonts w:cs="Arial"/>
                <w:sz w:val="22"/>
                <w:szCs w:val="22"/>
              </w:rPr>
              <w:t>J</w:t>
            </w:r>
            <w:r w:rsidRPr="00C3120D">
              <w:rPr>
                <w:rFonts w:cs="Arial"/>
                <w:sz w:val="22"/>
                <w:szCs w:val="22"/>
              </w:rPr>
              <w:t>1772</w:t>
            </w:r>
            <w:proofErr w:type="gramEnd"/>
            <w:r w:rsidRPr="00C3120D">
              <w:rPr>
                <w:rFonts w:cs="Arial"/>
                <w:sz w:val="22"/>
                <w:szCs w:val="22"/>
              </w:rPr>
              <w:t xml:space="preserve">, </w:t>
            </w:r>
            <w:r>
              <w:rPr>
                <w:rFonts w:cs="Arial"/>
                <w:sz w:val="22"/>
                <w:szCs w:val="22"/>
              </w:rPr>
              <w:t>J2836 &amp; J2847</w:t>
            </w:r>
            <w:r w:rsidRPr="00C3120D">
              <w:rPr>
                <w:rFonts w:cs="Arial"/>
                <w:sz w:val="22"/>
                <w:szCs w:val="22"/>
              </w:rPr>
              <w:t xml:space="preserve">.) that provide transfer of electrical energy from energy portal to PEV.  This can be 120V or </w:t>
            </w:r>
            <w:r w:rsidR="009A1199">
              <w:rPr>
                <w:rFonts w:cs="Arial"/>
                <w:sz w:val="22"/>
                <w:szCs w:val="22"/>
              </w:rPr>
              <w:t>208/</w:t>
            </w:r>
            <w:r w:rsidRPr="00C3120D">
              <w:rPr>
                <w:rFonts w:cs="Arial"/>
                <w:sz w:val="22"/>
                <w:szCs w:val="22"/>
              </w:rPr>
              <w:t xml:space="preserve">240V AC depending upon connection.  Two type of connection include 1) EVSE </w:t>
            </w:r>
            <w:proofErr w:type="spellStart"/>
            <w:r w:rsidRPr="00C3120D">
              <w:rPr>
                <w:rFonts w:cs="Arial"/>
                <w:sz w:val="22"/>
                <w:szCs w:val="22"/>
              </w:rPr>
              <w:t>cordset</w:t>
            </w:r>
            <w:proofErr w:type="spellEnd"/>
            <w:r w:rsidRPr="00C3120D">
              <w:rPr>
                <w:rFonts w:cs="Arial"/>
                <w:sz w:val="22"/>
                <w:szCs w:val="22"/>
              </w:rPr>
              <w:t xml:space="preserve"> and 2) Premise Mounted version.</w:t>
            </w:r>
            <w:r>
              <w:rPr>
                <w:rFonts w:cs="Arial"/>
                <w:sz w:val="22"/>
                <w:szCs w:val="22"/>
              </w:rPr>
              <w:t xml:space="preserve"> The Premise EVSE would not include the charger for AC (Level 2) energy transfer described in J1772. This would expect the charger to be included with the vehicle. If the EVSE included a </w:t>
            </w:r>
            <w:proofErr w:type="spellStart"/>
            <w:r>
              <w:rPr>
                <w:rFonts w:cs="Arial"/>
                <w:sz w:val="22"/>
                <w:szCs w:val="22"/>
              </w:rPr>
              <w:t>charger</w:t>
            </w:r>
            <w:proofErr w:type="spellEnd"/>
            <w:r>
              <w:rPr>
                <w:rFonts w:cs="Arial"/>
                <w:sz w:val="22"/>
                <w:szCs w:val="22"/>
              </w:rPr>
              <w:t xml:space="preserve">, DC energy transfer is expected and the vehicle charger </w:t>
            </w:r>
            <w:r w:rsidR="009A1199">
              <w:rPr>
                <w:rFonts w:cs="Arial"/>
                <w:sz w:val="22"/>
                <w:szCs w:val="22"/>
              </w:rPr>
              <w:t>is bypassed, since it was within the EVSE.</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rFonts w:cs="Arial"/>
                <w:sz w:val="22"/>
                <w:szCs w:val="22"/>
              </w:rPr>
              <w:t>Energy Portal (EP)/Smart Energy Portal (SEP)</w:t>
            </w:r>
          </w:p>
        </w:tc>
        <w:tc>
          <w:tcPr>
            <w:tcW w:w="2790" w:type="dxa"/>
          </w:tcPr>
          <w:p w:rsidR="0080595B" w:rsidRPr="00C3120D" w:rsidRDefault="0080595B" w:rsidP="007035B0">
            <w:pPr>
              <w:ind w:left="113" w:right="113"/>
              <w:rPr>
                <w:sz w:val="22"/>
                <w:szCs w:val="22"/>
              </w:rPr>
            </w:pPr>
            <w:r w:rsidRPr="00C3120D">
              <w:rPr>
                <w:sz w:val="22"/>
                <w:szCs w:val="22"/>
              </w:rPr>
              <w:t>Device</w:t>
            </w:r>
          </w:p>
        </w:tc>
        <w:tc>
          <w:tcPr>
            <w:tcW w:w="6300" w:type="dxa"/>
          </w:tcPr>
          <w:p w:rsidR="0080595B" w:rsidRPr="00C3120D" w:rsidRDefault="0080595B" w:rsidP="007035B0">
            <w:pPr>
              <w:rPr>
                <w:sz w:val="22"/>
                <w:szCs w:val="22"/>
              </w:rPr>
            </w:pPr>
            <w:r w:rsidRPr="00C3120D">
              <w:rPr>
                <w:rFonts w:cs="Arial"/>
                <w:sz w:val="22"/>
                <w:szCs w:val="22"/>
              </w:rPr>
              <w:t xml:space="preserve">Energy Portal is any charging point for a PEV. At a minimum, the Energy Portal is a 120V, 15A outlet but can also be a </w:t>
            </w:r>
            <w:r w:rsidR="009A1199">
              <w:rPr>
                <w:rFonts w:cs="Arial"/>
                <w:sz w:val="22"/>
                <w:szCs w:val="22"/>
              </w:rPr>
              <w:t>208/</w:t>
            </w:r>
            <w:r w:rsidRPr="00C3120D">
              <w:rPr>
                <w:rFonts w:cs="Arial"/>
                <w:sz w:val="22"/>
                <w:szCs w:val="22"/>
              </w:rPr>
              <w:t>240V Electric Vehicle Supply Equipment (EVSE) outlet connected to the premise circuit.</w:t>
            </w:r>
          </w:p>
        </w:tc>
      </w:tr>
      <w:tr w:rsidR="0080595B" w:rsidTr="00513F52">
        <w:trPr>
          <w:cantSplit/>
          <w:jc w:val="center"/>
        </w:trPr>
        <w:tc>
          <w:tcPr>
            <w:tcW w:w="2610" w:type="dxa"/>
          </w:tcPr>
          <w:p w:rsidR="0080595B" w:rsidRDefault="0080595B" w:rsidP="007035B0">
            <w:pPr>
              <w:rPr>
                <w:rFonts w:cs="Arial"/>
                <w:sz w:val="22"/>
                <w:szCs w:val="22"/>
              </w:rPr>
            </w:pPr>
            <w:r w:rsidRPr="00C3120D">
              <w:rPr>
                <w:rFonts w:cs="Arial"/>
                <w:sz w:val="22"/>
                <w:szCs w:val="22"/>
              </w:rPr>
              <w:lastRenderedPageBreak/>
              <w:t>Energy Services Communication Interface (</w:t>
            </w:r>
            <w:smartTag w:uri="urn:schemas-microsoft-com:office:smarttags" w:element="stockticker">
              <w:r w:rsidRPr="00C3120D">
                <w:rPr>
                  <w:rFonts w:cs="Arial"/>
                  <w:sz w:val="22"/>
                  <w:szCs w:val="22"/>
                </w:rPr>
                <w:t>ESCI</w:t>
              </w:r>
            </w:smartTag>
            <w:r w:rsidRPr="00C3120D">
              <w:rPr>
                <w:rFonts w:cs="Arial"/>
                <w:sz w:val="22"/>
                <w:szCs w:val="22"/>
              </w:rPr>
              <w:t>)</w:t>
            </w:r>
          </w:p>
          <w:p w:rsidR="0080595B" w:rsidRPr="00C3120D" w:rsidRDefault="0080595B" w:rsidP="007035B0">
            <w:pPr>
              <w:rPr>
                <w:rFonts w:cs="Arial"/>
                <w:sz w:val="22"/>
                <w:szCs w:val="22"/>
              </w:rPr>
            </w:pPr>
            <w:r>
              <w:rPr>
                <w:rFonts w:cs="Arial"/>
                <w:sz w:val="22"/>
                <w:szCs w:val="22"/>
              </w:rPr>
              <w:t>See ESI for similarities</w:t>
            </w:r>
          </w:p>
        </w:tc>
        <w:tc>
          <w:tcPr>
            <w:tcW w:w="2790" w:type="dxa"/>
          </w:tcPr>
          <w:p w:rsidR="0080595B" w:rsidRPr="00C3120D" w:rsidRDefault="0080595B" w:rsidP="007035B0">
            <w:pPr>
              <w:ind w:left="113" w:right="113"/>
              <w:rPr>
                <w:sz w:val="22"/>
                <w:szCs w:val="22"/>
              </w:rPr>
            </w:pPr>
            <w:r w:rsidRPr="00C3120D">
              <w:rPr>
                <w:sz w:val="22"/>
                <w:szCs w:val="22"/>
              </w:rPr>
              <w:t xml:space="preserve">System </w:t>
            </w:r>
          </w:p>
        </w:tc>
        <w:tc>
          <w:tcPr>
            <w:tcW w:w="6300" w:type="dxa"/>
          </w:tcPr>
          <w:p w:rsidR="0080595B" w:rsidRPr="00C3120D" w:rsidRDefault="0080595B" w:rsidP="007035B0">
            <w:pPr>
              <w:ind w:left="113" w:right="113"/>
              <w:rPr>
                <w:sz w:val="22"/>
                <w:szCs w:val="22"/>
              </w:rPr>
            </w:pPr>
            <w:bookmarkStart w:id="0" w:name="OLE_LINK3"/>
            <w:bookmarkStart w:id="1" w:name="OLE_LINK4"/>
            <w:r w:rsidRPr="00C3120D">
              <w:rPr>
                <w:rFonts w:cs="Arial"/>
                <w:sz w:val="22"/>
                <w:szCs w:val="22"/>
              </w:rPr>
              <w:t>Energy Services Communication Interface (</w:t>
            </w:r>
            <w:smartTag w:uri="urn:schemas-microsoft-com:office:smarttags" w:element="stockticker">
              <w:r w:rsidRPr="00C3120D">
                <w:rPr>
                  <w:rFonts w:cs="Arial"/>
                  <w:sz w:val="22"/>
                  <w:szCs w:val="22"/>
                </w:rPr>
                <w:t>ESCI</w:t>
              </w:r>
            </w:smartTag>
            <w:r w:rsidRPr="00C3120D">
              <w:rPr>
                <w:rFonts w:cs="Arial"/>
                <w:sz w:val="22"/>
                <w:szCs w:val="22"/>
              </w:rPr>
              <w:t xml:space="preserve">) </w:t>
            </w:r>
            <w:r w:rsidRPr="00C3120D">
              <w:rPr>
                <w:bCs/>
                <w:iCs/>
                <w:sz w:val="22"/>
                <w:szCs w:val="22"/>
              </w:rPr>
              <w:t xml:space="preserve">The ESCI is the communication device </w:t>
            </w:r>
            <w:bookmarkEnd w:id="0"/>
            <w:bookmarkEnd w:id="1"/>
            <w:r w:rsidRPr="00C3120D">
              <w:rPr>
                <w:bCs/>
                <w:iCs/>
                <w:sz w:val="22"/>
                <w:szCs w:val="22"/>
              </w:rPr>
              <w:t>between the vehicle and the utility</w:t>
            </w:r>
            <w:r w:rsidRPr="00C3120D">
              <w:rPr>
                <w:sz w:val="22"/>
                <w:szCs w:val="22"/>
              </w:rPr>
              <w:t xml:space="preserve"> </w:t>
            </w:r>
          </w:p>
          <w:p w:rsidR="0080595B" w:rsidRPr="00C3120D" w:rsidRDefault="0080595B" w:rsidP="007035B0">
            <w:pPr>
              <w:ind w:left="113" w:right="113"/>
              <w:rPr>
                <w:rFonts w:cs="Arial"/>
                <w:sz w:val="22"/>
                <w:szCs w:val="22"/>
              </w:rPr>
            </w:pPr>
            <w:r w:rsidRPr="00C3120D">
              <w:rPr>
                <w:sz w:val="22"/>
                <w:szCs w:val="22"/>
              </w:rPr>
              <w:t xml:space="preserve">ESCI </w:t>
            </w:r>
            <w:r w:rsidRPr="00C3120D">
              <w:rPr>
                <w:rFonts w:cs="Arial"/>
                <w:sz w:val="22"/>
                <w:szCs w:val="22"/>
              </w:rPr>
              <w:t>The Energy Services Communication Interface (</w:t>
            </w:r>
            <w:smartTag w:uri="urn:schemas-microsoft-com:office:smarttags" w:element="stockticker">
              <w:r w:rsidRPr="00C3120D">
                <w:rPr>
                  <w:rFonts w:cs="Arial"/>
                  <w:sz w:val="22"/>
                  <w:szCs w:val="22"/>
                </w:rPr>
                <w:t>ESCI</w:t>
              </w:r>
            </w:smartTag>
            <w:r w:rsidRPr="00C3120D">
              <w:rPr>
                <w:rFonts w:cs="Arial"/>
                <w:sz w:val="22"/>
                <w:szCs w:val="22"/>
              </w:rPr>
              <w:t>) shall exist at the customer premise and be capable of securely communicating between the Utility and PEV to facilitate exchange of demand side management information</w:t>
            </w:r>
            <w:r w:rsidR="009A1199">
              <w:rPr>
                <w:rFonts w:cs="Arial"/>
                <w:sz w:val="22"/>
                <w:szCs w:val="22"/>
              </w:rPr>
              <w:t>.</w:t>
            </w:r>
          </w:p>
          <w:p w:rsidR="0080595B" w:rsidRPr="00C3120D" w:rsidRDefault="0080595B" w:rsidP="007035B0">
            <w:pPr>
              <w:ind w:left="113" w:right="113"/>
              <w:rPr>
                <w:sz w:val="22"/>
                <w:szCs w:val="22"/>
              </w:rPr>
            </w:pPr>
            <w:r w:rsidRPr="00C3120D">
              <w:rPr>
                <w:rFonts w:cs="Arial"/>
                <w:sz w:val="22"/>
                <w:szCs w:val="22"/>
              </w:rPr>
              <w:t>PEV shall be capable of communicating to the Utility through an ESCI</w:t>
            </w:r>
            <w:r w:rsidR="009A1199">
              <w:rPr>
                <w:rFonts w:cs="Arial"/>
                <w:sz w:val="22"/>
                <w:szCs w:val="22"/>
              </w:rPr>
              <w:t>.</w:t>
            </w:r>
          </w:p>
          <w:p w:rsidR="0080595B" w:rsidRPr="00C3120D" w:rsidRDefault="0080595B" w:rsidP="007035B0">
            <w:pPr>
              <w:ind w:left="113" w:right="113"/>
              <w:rPr>
                <w:sz w:val="22"/>
                <w:szCs w:val="22"/>
              </w:rPr>
            </w:pPr>
            <w:r w:rsidRPr="00C3120D">
              <w:rPr>
                <w:sz w:val="22"/>
                <w:szCs w:val="22"/>
              </w:rPr>
              <w:t xml:space="preserve">ESCI </w:t>
            </w:r>
            <w:r w:rsidRPr="00C3120D">
              <w:rPr>
                <w:bCs/>
                <w:iCs/>
                <w:sz w:val="22"/>
                <w:szCs w:val="22"/>
              </w:rPr>
              <w:t>shall report all PEV charging session information and energy usage to Utility</w:t>
            </w:r>
            <w:r w:rsidRPr="00C3120D">
              <w:rPr>
                <w:sz w:val="22"/>
                <w:szCs w:val="22"/>
              </w:rPr>
              <w:t xml:space="preserve"> ESCI communicates with and exchanges information between utility, PEV, and End Use Measurement Device (EUMD).  </w:t>
            </w:r>
            <w:smartTag w:uri="urn:schemas-microsoft-com:office:smarttags" w:element="stockticker">
              <w:r w:rsidRPr="00C3120D">
                <w:rPr>
                  <w:sz w:val="22"/>
                  <w:szCs w:val="22"/>
                </w:rPr>
                <w:t>ESCI</w:t>
              </w:r>
            </w:smartTag>
            <w:r w:rsidRPr="00C3120D">
              <w:rPr>
                <w:sz w:val="22"/>
                <w:szCs w:val="22"/>
              </w:rPr>
              <w:t xml:space="preserve"> shall provide PEV charging session information to the utility – PEV ID, interval kWh consumption.  Passes </w:t>
            </w:r>
            <w:r w:rsidRPr="00C3120D">
              <w:rPr>
                <w:rFonts w:cs="Arial"/>
                <w:sz w:val="22"/>
                <w:szCs w:val="22"/>
              </w:rPr>
              <w:t>energy information, including price signals, schedules</w:t>
            </w:r>
            <w:r>
              <w:rPr>
                <w:rFonts w:cs="Arial"/>
                <w:sz w:val="22"/>
                <w:szCs w:val="22"/>
              </w:rPr>
              <w:t xml:space="preserve"> (including time zone and charge "window")</w:t>
            </w:r>
            <w:r w:rsidRPr="00C3120D">
              <w:rPr>
                <w:rFonts w:cs="Arial"/>
                <w:sz w:val="22"/>
                <w:szCs w:val="22"/>
              </w:rPr>
              <w:t xml:space="preserve">, event messages, configuration, and security data </w:t>
            </w:r>
            <w:r w:rsidRPr="00C3120D">
              <w:rPr>
                <w:sz w:val="22"/>
                <w:szCs w:val="22"/>
              </w:rPr>
              <w:t>from the utility to the PEV.  This interface may or may not be facilitated by an Advanced Metering Infrastructure (</w:t>
            </w:r>
            <w:smartTag w:uri="urn:schemas-microsoft-com:office:smarttags" w:element="stockticker">
              <w:r w:rsidRPr="00C3120D">
                <w:rPr>
                  <w:sz w:val="22"/>
                  <w:szCs w:val="22"/>
                </w:rPr>
                <w:t>AMI</w:t>
              </w:r>
            </w:smartTag>
            <w:r w:rsidRPr="00C3120D">
              <w:rPr>
                <w:sz w:val="22"/>
                <w:szCs w:val="22"/>
              </w:rPr>
              <w:t>) that includes a Home Area Network (</w:t>
            </w:r>
            <w:smartTag w:uri="urn:schemas-microsoft-com:office:smarttags" w:element="stockticker">
              <w:r w:rsidRPr="00C3120D">
                <w:rPr>
                  <w:sz w:val="22"/>
                  <w:szCs w:val="22"/>
                </w:rPr>
                <w:t>HAN</w:t>
              </w:r>
            </w:smartTag>
            <w:r w:rsidRPr="00C3120D">
              <w:rPr>
                <w:sz w:val="22"/>
                <w:szCs w:val="22"/>
              </w:rPr>
              <w:t xml:space="preserve">).  </w:t>
            </w:r>
          </w:p>
          <w:p w:rsidR="0080595B" w:rsidRPr="00C3120D" w:rsidRDefault="0080595B" w:rsidP="007035B0">
            <w:pPr>
              <w:ind w:left="113" w:right="113"/>
              <w:rPr>
                <w:rFonts w:cs="Arial"/>
                <w:sz w:val="22"/>
                <w:szCs w:val="22"/>
              </w:rPr>
            </w:pPr>
            <w:r w:rsidRPr="00C3120D">
              <w:rPr>
                <w:rFonts w:cs="Arial"/>
                <w:sz w:val="22"/>
                <w:szCs w:val="22"/>
              </w:rPr>
              <w:t>ESCI shall employ appropriate security policies when communicating demand side management program-related messages</w:t>
            </w:r>
            <w:r w:rsidR="009A1199">
              <w:rPr>
                <w:rFonts w:cs="Arial"/>
                <w:sz w:val="22"/>
                <w:szCs w:val="22"/>
              </w:rPr>
              <w:t>.</w:t>
            </w:r>
          </w:p>
        </w:tc>
      </w:tr>
      <w:tr w:rsidR="0080595B" w:rsidTr="00513F52">
        <w:trPr>
          <w:cantSplit/>
          <w:jc w:val="center"/>
        </w:trPr>
        <w:tc>
          <w:tcPr>
            <w:tcW w:w="2610" w:type="dxa"/>
          </w:tcPr>
          <w:p w:rsidR="0080595B" w:rsidRPr="00C3120D" w:rsidRDefault="0080595B" w:rsidP="007035B0">
            <w:pPr>
              <w:rPr>
                <w:rFonts w:cs="Arial"/>
                <w:sz w:val="22"/>
                <w:szCs w:val="22"/>
              </w:rPr>
            </w:pPr>
            <w:r>
              <w:rPr>
                <w:rFonts w:cs="Arial"/>
                <w:sz w:val="22"/>
                <w:szCs w:val="22"/>
              </w:rPr>
              <w:t>ESI</w:t>
            </w:r>
          </w:p>
        </w:tc>
        <w:tc>
          <w:tcPr>
            <w:tcW w:w="2790" w:type="dxa"/>
          </w:tcPr>
          <w:p w:rsidR="0080595B" w:rsidRPr="00C3120D" w:rsidRDefault="0080595B" w:rsidP="007035B0">
            <w:pPr>
              <w:ind w:left="113" w:right="113"/>
              <w:rPr>
                <w:sz w:val="22"/>
                <w:szCs w:val="22"/>
              </w:rPr>
            </w:pPr>
            <w:r>
              <w:rPr>
                <w:sz w:val="22"/>
                <w:szCs w:val="22"/>
              </w:rPr>
              <w:t>System</w:t>
            </w:r>
          </w:p>
        </w:tc>
        <w:tc>
          <w:tcPr>
            <w:tcW w:w="6300" w:type="dxa"/>
          </w:tcPr>
          <w:p w:rsidR="0080595B" w:rsidRPr="00C3120D" w:rsidRDefault="0080595B" w:rsidP="007035B0">
            <w:pPr>
              <w:ind w:left="113" w:right="113"/>
              <w:rPr>
                <w:sz w:val="22"/>
                <w:szCs w:val="22"/>
              </w:rPr>
            </w:pPr>
            <w:r w:rsidRPr="007A6AC0">
              <w:rPr>
                <w:rFonts w:cs="Arial"/>
                <w:sz w:val="22"/>
                <w:szCs w:val="22"/>
              </w:rPr>
              <w:t>Energy Services Interface – Provides security and, often, coordination functions that enable secure interactions between relevant Home Area Network Devices and the Utility.  Permits applications such as remote load control, monitoring and control of distributed generation, in-home display of customer usage, reading of non-energy meters, and integration with building management systems.  Also provides auditing/logging functions that record transactions to and from Home Area Networking Devices.</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sz w:val="22"/>
                <w:szCs w:val="22"/>
              </w:rPr>
              <w:lastRenderedPageBreak/>
              <w:t>End Use Measurement Device</w:t>
            </w:r>
            <w:r w:rsidRPr="00C3120D">
              <w:rPr>
                <w:rFonts w:cs="Arial"/>
                <w:sz w:val="22"/>
                <w:szCs w:val="22"/>
              </w:rPr>
              <w:t xml:space="preserve"> (EUMD)</w:t>
            </w:r>
          </w:p>
        </w:tc>
        <w:tc>
          <w:tcPr>
            <w:tcW w:w="2790" w:type="dxa"/>
          </w:tcPr>
          <w:p w:rsidR="0080595B" w:rsidRPr="00C3120D" w:rsidRDefault="0080595B" w:rsidP="007035B0">
            <w:pPr>
              <w:ind w:left="113" w:right="113"/>
              <w:rPr>
                <w:sz w:val="22"/>
                <w:szCs w:val="22"/>
              </w:rPr>
            </w:pPr>
            <w:r w:rsidRPr="00C3120D">
              <w:rPr>
                <w:sz w:val="22"/>
                <w:szCs w:val="22"/>
              </w:rPr>
              <w:t>Device</w:t>
            </w:r>
          </w:p>
        </w:tc>
        <w:tc>
          <w:tcPr>
            <w:tcW w:w="6300" w:type="dxa"/>
          </w:tcPr>
          <w:p w:rsidR="0080595B" w:rsidRPr="007A6AC0" w:rsidRDefault="0080595B" w:rsidP="007035B0">
            <w:pPr>
              <w:ind w:left="113" w:right="113"/>
              <w:rPr>
                <w:rFonts w:cs="Arial"/>
                <w:sz w:val="22"/>
                <w:szCs w:val="22"/>
              </w:rPr>
            </w:pPr>
            <w:r w:rsidRPr="00305875">
              <w:rPr>
                <w:rFonts w:cs="Arial"/>
                <w:sz w:val="22"/>
                <w:szCs w:val="22"/>
              </w:rPr>
              <w:t>End Use Measurement Device (EUMD) is a HAN device that measures energy consumed by a PEV and communicates the information to the ESI.</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rFonts w:cs="Arial"/>
                <w:sz w:val="22"/>
                <w:szCs w:val="22"/>
              </w:rPr>
              <w:t>Guest</w:t>
            </w:r>
          </w:p>
        </w:tc>
        <w:tc>
          <w:tcPr>
            <w:tcW w:w="2790" w:type="dxa"/>
          </w:tcPr>
          <w:p w:rsidR="0080595B" w:rsidRPr="00C3120D" w:rsidRDefault="0080595B" w:rsidP="007035B0">
            <w:pPr>
              <w:ind w:left="113" w:right="113"/>
              <w:rPr>
                <w:sz w:val="22"/>
                <w:szCs w:val="22"/>
              </w:rPr>
            </w:pPr>
            <w:r w:rsidRPr="00C3120D">
              <w:rPr>
                <w:sz w:val="22"/>
                <w:szCs w:val="22"/>
              </w:rPr>
              <w:t>Person</w:t>
            </w:r>
          </w:p>
        </w:tc>
        <w:tc>
          <w:tcPr>
            <w:tcW w:w="6300" w:type="dxa"/>
          </w:tcPr>
          <w:p w:rsidR="0080595B" w:rsidRPr="00C3120D" w:rsidRDefault="0080595B" w:rsidP="007035B0">
            <w:pPr>
              <w:ind w:left="113" w:right="113"/>
              <w:rPr>
                <w:rFonts w:cs="Arial"/>
                <w:sz w:val="22"/>
                <w:szCs w:val="22"/>
              </w:rPr>
            </w:pPr>
            <w:r w:rsidRPr="00C3120D">
              <w:rPr>
                <w:rFonts w:cs="Arial"/>
                <w:sz w:val="22"/>
                <w:szCs w:val="22"/>
              </w:rPr>
              <w:t>Guest is a friend or family member who has permission to use a Customer Premise for charging a PEV.  May be liable for PEV charging costs depending upon Customer preferences set up within PEV program.</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rFonts w:cs="Arial"/>
                <w:sz w:val="22"/>
                <w:szCs w:val="22"/>
              </w:rPr>
              <w:t>PEV</w:t>
            </w:r>
            <w:r>
              <w:rPr>
                <w:rFonts w:cs="Arial"/>
                <w:sz w:val="22"/>
                <w:szCs w:val="22"/>
              </w:rPr>
              <w:t>, EV, PHEV</w:t>
            </w:r>
            <w:r w:rsidRPr="00C3120D">
              <w:rPr>
                <w:rFonts w:cs="Arial"/>
                <w:sz w:val="22"/>
                <w:szCs w:val="22"/>
              </w:rPr>
              <w:t xml:space="preserve"> </w:t>
            </w:r>
          </w:p>
        </w:tc>
        <w:tc>
          <w:tcPr>
            <w:tcW w:w="2790" w:type="dxa"/>
          </w:tcPr>
          <w:p w:rsidR="0080595B" w:rsidRPr="00C3120D" w:rsidRDefault="0080595B" w:rsidP="007035B0">
            <w:pPr>
              <w:ind w:left="113" w:right="113"/>
              <w:rPr>
                <w:sz w:val="22"/>
                <w:szCs w:val="22"/>
              </w:rPr>
            </w:pPr>
            <w:r w:rsidRPr="00C3120D">
              <w:rPr>
                <w:sz w:val="22"/>
                <w:szCs w:val="22"/>
              </w:rPr>
              <w:t xml:space="preserve">System </w:t>
            </w:r>
          </w:p>
        </w:tc>
        <w:tc>
          <w:tcPr>
            <w:tcW w:w="6300" w:type="dxa"/>
          </w:tcPr>
          <w:p w:rsidR="0080595B" w:rsidRPr="00C3120D" w:rsidRDefault="0080595B" w:rsidP="00CB43C0">
            <w:pPr>
              <w:ind w:left="113" w:right="113"/>
              <w:rPr>
                <w:rFonts w:cs="Arial"/>
                <w:sz w:val="22"/>
                <w:szCs w:val="22"/>
              </w:rPr>
            </w:pPr>
            <w:r w:rsidRPr="00C3120D">
              <w:rPr>
                <w:rFonts w:cs="Arial"/>
                <w:sz w:val="22"/>
                <w:szCs w:val="22"/>
              </w:rPr>
              <w:t xml:space="preserve">Plug-in Electric Vehicle (PEV). Plugs into an Energy Portal at a premise to charge vehicle. </w:t>
            </w:r>
            <w:r>
              <w:rPr>
                <w:rFonts w:cs="Arial"/>
                <w:sz w:val="22"/>
                <w:szCs w:val="22"/>
              </w:rPr>
              <w:t>A PEV is also an EV (Electric Vehicle) that relies only on electric propulsion. A PEV is also a PHEV (Plug-In-Hybrid Vehicle) that also includes an alternative source of propulsion power.</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rFonts w:cs="Arial"/>
                <w:sz w:val="22"/>
                <w:szCs w:val="22"/>
              </w:rPr>
              <w:t>Roaming Utility</w:t>
            </w:r>
          </w:p>
        </w:tc>
        <w:tc>
          <w:tcPr>
            <w:tcW w:w="2790" w:type="dxa"/>
          </w:tcPr>
          <w:p w:rsidR="0080595B" w:rsidRPr="00C3120D" w:rsidRDefault="0080595B" w:rsidP="007035B0">
            <w:pPr>
              <w:ind w:left="113" w:right="113"/>
              <w:rPr>
                <w:sz w:val="22"/>
                <w:szCs w:val="22"/>
              </w:rPr>
            </w:pPr>
            <w:r w:rsidRPr="00C3120D">
              <w:rPr>
                <w:sz w:val="22"/>
                <w:szCs w:val="22"/>
              </w:rPr>
              <w:t>Organization</w:t>
            </w:r>
          </w:p>
        </w:tc>
        <w:tc>
          <w:tcPr>
            <w:tcW w:w="6300" w:type="dxa"/>
          </w:tcPr>
          <w:p w:rsidR="0080595B" w:rsidRPr="00C3120D" w:rsidRDefault="0080595B" w:rsidP="007035B0">
            <w:pPr>
              <w:ind w:left="113" w:right="113"/>
              <w:rPr>
                <w:sz w:val="22"/>
                <w:szCs w:val="22"/>
              </w:rPr>
            </w:pPr>
            <w:r w:rsidRPr="00C3120D">
              <w:rPr>
                <w:rFonts w:cs="Arial"/>
                <w:sz w:val="22"/>
                <w:szCs w:val="22"/>
              </w:rPr>
              <w:t>Electric Service Provider that is supplying energy to PEV when PEV is outside of the Customer’s Utility service territory</w:t>
            </w:r>
            <w:r>
              <w:rPr>
                <w:rFonts w:cs="Arial"/>
                <w:sz w:val="22"/>
                <w:szCs w:val="22"/>
              </w:rPr>
              <w:t>.</w:t>
            </w:r>
          </w:p>
        </w:tc>
      </w:tr>
      <w:tr w:rsidR="0080595B" w:rsidTr="00513F52">
        <w:trPr>
          <w:cantSplit/>
          <w:jc w:val="center"/>
        </w:trPr>
        <w:tc>
          <w:tcPr>
            <w:tcW w:w="2610" w:type="dxa"/>
          </w:tcPr>
          <w:p w:rsidR="0080595B" w:rsidRPr="00C3120D" w:rsidRDefault="0080595B" w:rsidP="007035B0">
            <w:pPr>
              <w:rPr>
                <w:rFonts w:cs="Arial"/>
                <w:sz w:val="22"/>
                <w:szCs w:val="22"/>
              </w:rPr>
            </w:pPr>
            <w:r w:rsidRPr="00C3120D">
              <w:rPr>
                <w:rFonts w:cs="Arial"/>
                <w:sz w:val="22"/>
                <w:szCs w:val="22"/>
              </w:rPr>
              <w:t>Utility</w:t>
            </w:r>
          </w:p>
        </w:tc>
        <w:tc>
          <w:tcPr>
            <w:tcW w:w="2790" w:type="dxa"/>
          </w:tcPr>
          <w:p w:rsidR="0080595B" w:rsidRPr="00C3120D" w:rsidRDefault="0080595B" w:rsidP="007035B0">
            <w:pPr>
              <w:ind w:left="113" w:right="113"/>
              <w:rPr>
                <w:sz w:val="22"/>
                <w:szCs w:val="22"/>
              </w:rPr>
            </w:pPr>
            <w:r w:rsidRPr="00C3120D">
              <w:rPr>
                <w:sz w:val="22"/>
                <w:szCs w:val="22"/>
              </w:rPr>
              <w:t>Organization</w:t>
            </w:r>
          </w:p>
        </w:tc>
        <w:tc>
          <w:tcPr>
            <w:tcW w:w="6300" w:type="dxa"/>
          </w:tcPr>
          <w:p w:rsidR="0080595B" w:rsidRPr="00C3120D" w:rsidRDefault="0080595B" w:rsidP="007035B0">
            <w:pPr>
              <w:ind w:left="113" w:right="113"/>
              <w:rPr>
                <w:rFonts w:cs="Arial"/>
                <w:sz w:val="22"/>
                <w:szCs w:val="22"/>
              </w:rPr>
            </w:pPr>
            <w:r w:rsidRPr="00C3120D">
              <w:rPr>
                <w:rFonts w:cs="Arial"/>
                <w:sz w:val="22"/>
                <w:szCs w:val="22"/>
              </w:rPr>
              <w:t>Utility typically refers to a collection of systems, business functions, and organizations’ which make up the electric utility</w:t>
            </w:r>
            <w:r w:rsidRPr="00C3120D" w:rsidDel="00F95F5F">
              <w:rPr>
                <w:rFonts w:cs="Arial"/>
                <w:sz w:val="22"/>
                <w:szCs w:val="22"/>
              </w:rPr>
              <w:t xml:space="preserve"> </w:t>
            </w:r>
            <w:r w:rsidRPr="00C3120D">
              <w:rPr>
                <w:rFonts w:cs="Arial"/>
                <w:sz w:val="22"/>
                <w:szCs w:val="22"/>
              </w:rPr>
              <w:t>that include the Customer Information System (CIS), the Advanced Metering Infrastructure (</w:t>
            </w:r>
            <w:smartTag w:uri="urn:schemas-microsoft-com:office:smarttags" w:element="stockticker">
              <w:r w:rsidRPr="00C3120D">
                <w:rPr>
                  <w:rFonts w:cs="Arial"/>
                  <w:sz w:val="22"/>
                  <w:szCs w:val="22"/>
                </w:rPr>
                <w:t>AMI</w:t>
              </w:r>
            </w:smartTag>
            <w:r w:rsidRPr="00C3120D">
              <w:rPr>
                <w:rFonts w:cs="Arial"/>
                <w:sz w:val="22"/>
                <w:szCs w:val="22"/>
              </w:rPr>
              <w:t>), Rates and Revenue Services, etc.</w:t>
            </w:r>
          </w:p>
        </w:tc>
      </w:tr>
    </w:tbl>
    <w:p w:rsidR="00667AB3" w:rsidRDefault="00667AB3"/>
    <w:p w:rsidR="00667AB3" w:rsidRDefault="006C3B38">
      <w:r>
        <w:br w:type="column"/>
      </w:r>
    </w:p>
    <w:p w:rsidR="00667AB3" w:rsidRDefault="006C3B38">
      <w:pPr>
        <w:pStyle w:val="Heading1"/>
      </w:pPr>
      <w:bookmarkStart w:id="2" w:name="_gjdgxs" w:colFirst="0" w:colLast="0"/>
      <w:bookmarkEnd w:id="2"/>
      <w:r>
        <w:t>Step by Step analysis of each Scenario</w:t>
      </w:r>
    </w:p>
    <w:p w:rsidR="00C81AD8" w:rsidRDefault="00C81AD8">
      <w:pPr>
        <w:rPr>
          <w:rFonts w:ascii="Arial" w:hAnsi="Arial" w:cs="Arial"/>
        </w:rPr>
      </w:pPr>
      <w:r>
        <w:rPr>
          <w:rFonts w:ascii="Arial" w:hAnsi="Arial" w:cs="Arial"/>
        </w:rPr>
        <w:t xml:space="preserve">Use Case U5: Customer agrees to an </w:t>
      </w:r>
      <w:r w:rsidRPr="0023467A">
        <w:rPr>
          <w:rFonts w:ascii="Arial" w:hAnsi="Arial" w:cs="Arial"/>
        </w:rPr>
        <w:t xml:space="preserve">Optimized Energy Transfer </w:t>
      </w:r>
      <w:r>
        <w:rPr>
          <w:rFonts w:ascii="Arial" w:hAnsi="Arial" w:cs="Arial"/>
        </w:rPr>
        <w:t>utility program</w:t>
      </w:r>
      <w:r>
        <w:rPr>
          <w:rFonts w:ascii="Arial" w:hAnsi="Arial" w:cs="Arial"/>
        </w:rPr>
        <w:t>.</w:t>
      </w:r>
    </w:p>
    <w:p w:rsidR="00667AB3" w:rsidRDefault="00667AB3"/>
    <w:p w:rsidR="00C81AD8" w:rsidRDefault="006C3B38">
      <w:pPr>
        <w:pStyle w:val="Heading2"/>
      </w:pPr>
      <w:r>
        <w:t xml:space="preserve">Primary Scenario: </w:t>
      </w:r>
    </w:p>
    <w:p w:rsidR="00667AB3" w:rsidRDefault="00C81AD8" w:rsidP="00A2784E">
      <w:pPr>
        <w:pStyle w:val="Heading2"/>
        <w:numPr>
          <w:ilvl w:val="0"/>
          <w:numId w:val="3"/>
        </w:numPr>
      </w:pPr>
      <w:r w:rsidRPr="00BD4B26">
        <w:t xml:space="preserve">U5: </w:t>
      </w:r>
      <w:r w:rsidRPr="002F0AF2">
        <w:t xml:space="preserve">Optimized Energy Transfer programs are designed to incentivize customers whom are willing to give the energy provider control over their load.  More specifically these programs allow energy providers to reduce or interrupt customer loads during </w:t>
      </w:r>
      <w:r>
        <w:t>critical</w:t>
      </w:r>
      <w:r w:rsidRPr="002F0AF2">
        <w:t xml:space="preserve"> grid events.  The idea is that the energy provider based on the grid event can actively manage the charging load by either reducing or interrupting it.  In either case, the active management will support turn off those who have higher SOC while only reducing the charge rate of those that have low</w:t>
      </w:r>
      <w:r>
        <w:t>er SOC</w:t>
      </w:r>
      <w:r w:rsidRPr="002F0AF2">
        <w:t>.  Usually, the energy provider offers a vast array of options with programs varying in the quantity of events and length of reduction or interruption periods</w:t>
      </w:r>
      <w:r w:rsidRPr="009E477A">
        <w:t>.</w:t>
      </w:r>
      <w:r w:rsidRPr="002F0AF2">
        <w:t xml:space="preserve"> </w:t>
      </w:r>
      <w:r w:rsidRPr="009E477A">
        <w:t>These include Regulation Services and taking advantage of Spinning Reserves</w:t>
      </w:r>
      <w:r w:rsidR="00A2784E">
        <w:t>.</w:t>
      </w:r>
    </w:p>
    <w:p w:rsidR="00A2784E" w:rsidRPr="00A2784E" w:rsidRDefault="00A2784E" w:rsidP="00A2784E">
      <w:pPr>
        <w:pStyle w:val="ListParagraph"/>
        <w:numPr>
          <w:ilvl w:val="0"/>
          <w:numId w:val="3"/>
        </w:numPr>
        <w:rPr>
          <w:color w:val="2F5496"/>
          <w:sz w:val="26"/>
          <w:szCs w:val="26"/>
        </w:rPr>
      </w:pPr>
      <w:r w:rsidRPr="00A2784E">
        <w:rPr>
          <w:color w:val="2F5496"/>
          <w:sz w:val="26"/>
          <w:szCs w:val="26"/>
        </w:rPr>
        <w:t xml:space="preserve">U6 allows for bidirectional active power flow.  Reverse power flow must always be to a </w:t>
      </w:r>
      <w:proofErr w:type="spellStart"/>
      <w:r w:rsidRPr="00A2784E">
        <w:rPr>
          <w:color w:val="2F5496"/>
          <w:sz w:val="26"/>
          <w:szCs w:val="26"/>
        </w:rPr>
        <w:t>setpoint</w:t>
      </w:r>
      <w:proofErr w:type="spellEnd"/>
      <w:r w:rsidRPr="00A2784E">
        <w:rPr>
          <w:color w:val="2F5496"/>
          <w:sz w:val="26"/>
          <w:szCs w:val="26"/>
        </w:rPr>
        <w:t xml:space="preserve">.  Unlike a solar PV system, which is designed to provide power and can be limited, the optimal power output of a vehicle is zero so a limit is meaningless. Some V2G applications will require the charger to consume or source a specific power and it is expected to do this unless notification is provided to the EMS that it cannot.  U6 provides for firm commands for both forward and reverse power flow. The vehicle must protect its battery and not compromise operator or facility safety and this must always take precedence over power consumption or delivery, but the key difference between a limiting operation and a commanded operation is the need for notification of non-performance. When a firm forward target power level is not required by the application, U6 could allow the EMS to command charging to a limit and not to a </w:t>
      </w:r>
      <w:proofErr w:type="spellStart"/>
      <w:r w:rsidRPr="00A2784E">
        <w:rPr>
          <w:color w:val="2F5496"/>
          <w:sz w:val="26"/>
          <w:szCs w:val="26"/>
        </w:rPr>
        <w:t>setpoint</w:t>
      </w:r>
      <w:proofErr w:type="spellEnd"/>
      <w:r w:rsidRPr="00A2784E">
        <w:rPr>
          <w:color w:val="2F5496"/>
          <w:sz w:val="26"/>
          <w:szCs w:val="26"/>
        </w:rPr>
        <w:t xml:space="preserve">.  </w:t>
      </w:r>
    </w:p>
    <w:p w:rsidR="00A2784E" w:rsidRPr="00A2784E" w:rsidRDefault="00A2784E" w:rsidP="00A2784E">
      <w:pPr>
        <w:pStyle w:val="ListParagraph"/>
        <w:numPr>
          <w:ilvl w:val="0"/>
          <w:numId w:val="3"/>
        </w:numPr>
        <w:rPr>
          <w:color w:val="2F5496"/>
          <w:sz w:val="26"/>
          <w:szCs w:val="26"/>
        </w:rPr>
      </w:pPr>
      <w:r w:rsidRPr="00A2784E">
        <w:rPr>
          <w:color w:val="2F5496"/>
          <w:sz w:val="26"/>
          <w:szCs w:val="26"/>
        </w:rPr>
        <w:t xml:space="preserve">U7 allows for four quadrant power conversions.  The minimum capability for U7 is the ability for the converter to control power factor under command. This is accomplished by sifting the phase angle of the current sourced by the inverter relative to the voltage waveform of the grid. Advanced inverters are being developed for solar </w:t>
      </w:r>
      <w:bookmarkStart w:id="3" w:name="_GoBack"/>
      <w:bookmarkEnd w:id="3"/>
      <w:r w:rsidRPr="00A2784E">
        <w:rPr>
          <w:color w:val="2F5496"/>
          <w:sz w:val="26"/>
          <w:szCs w:val="26"/>
        </w:rPr>
        <w:t>systems and grid storage systems that are capable of automatically changing power levels or power factor in response to changes in a measured parameter such as voltage or frequency.  Some V2G applications may require the automatic functions and others may only require capability to change power factor by command.  It is not clear how many PEVs or EVSEs will implement the advanced functions.</w:t>
      </w:r>
    </w:p>
    <w:p w:rsidR="00667AB3" w:rsidRPr="00A2784E" w:rsidRDefault="00667AB3">
      <w:pPr>
        <w:rPr>
          <w:color w:val="2F5496"/>
          <w:sz w:val="26"/>
          <w:szCs w:val="26"/>
        </w:rPr>
      </w:pPr>
    </w:p>
    <w:tbl>
      <w:tblPr>
        <w:tblStyle w:val="a0"/>
        <w:tblW w:w="11700" w:type="dxa"/>
        <w:jc w:val="center"/>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5"/>
        <w:gridCol w:w="2925"/>
        <w:gridCol w:w="2925"/>
        <w:gridCol w:w="2925"/>
      </w:tblGrid>
      <w:tr w:rsidR="00667AB3" w:rsidTr="000D12D2">
        <w:trPr>
          <w:trHeight w:val="620"/>
          <w:jc w:val="center"/>
        </w:trPr>
        <w:tc>
          <w:tcPr>
            <w:tcW w:w="2925" w:type="dxa"/>
            <w:shd w:val="clear" w:color="auto" w:fill="E7E6E6"/>
            <w:vAlign w:val="center"/>
          </w:tcPr>
          <w:p w:rsidR="00667AB3" w:rsidRDefault="006C3B38">
            <w:pPr>
              <w:contextualSpacing w:val="0"/>
              <w:jc w:val="center"/>
              <w:rPr>
                <w:b/>
              </w:rPr>
            </w:pPr>
            <w:r>
              <w:rPr>
                <w:b/>
              </w:rPr>
              <w:t>Triggering Event</w:t>
            </w:r>
          </w:p>
        </w:tc>
        <w:tc>
          <w:tcPr>
            <w:tcW w:w="2925" w:type="dxa"/>
            <w:shd w:val="clear" w:color="auto" w:fill="E7E6E6"/>
            <w:vAlign w:val="center"/>
          </w:tcPr>
          <w:p w:rsidR="00667AB3" w:rsidRDefault="006C3B38">
            <w:pPr>
              <w:contextualSpacing w:val="0"/>
              <w:jc w:val="center"/>
              <w:rPr>
                <w:b/>
              </w:rPr>
            </w:pPr>
            <w:r>
              <w:rPr>
                <w:b/>
              </w:rPr>
              <w:t>Primary Actor</w:t>
            </w:r>
          </w:p>
        </w:tc>
        <w:tc>
          <w:tcPr>
            <w:tcW w:w="2925" w:type="dxa"/>
            <w:shd w:val="clear" w:color="auto" w:fill="E7E6E6"/>
            <w:vAlign w:val="center"/>
          </w:tcPr>
          <w:p w:rsidR="00667AB3" w:rsidRDefault="006C3B38">
            <w:pPr>
              <w:contextualSpacing w:val="0"/>
              <w:jc w:val="center"/>
              <w:rPr>
                <w:b/>
              </w:rPr>
            </w:pPr>
            <w:r>
              <w:rPr>
                <w:b/>
              </w:rPr>
              <w:t>Pre-Condition</w:t>
            </w:r>
          </w:p>
        </w:tc>
        <w:tc>
          <w:tcPr>
            <w:tcW w:w="2925" w:type="dxa"/>
            <w:shd w:val="clear" w:color="auto" w:fill="E7E6E6"/>
            <w:vAlign w:val="center"/>
          </w:tcPr>
          <w:p w:rsidR="00667AB3" w:rsidRDefault="006C3B38">
            <w:pPr>
              <w:contextualSpacing w:val="0"/>
              <w:jc w:val="center"/>
              <w:rPr>
                <w:b/>
              </w:rPr>
            </w:pPr>
            <w:r>
              <w:rPr>
                <w:b/>
              </w:rPr>
              <w:t>Post-Condition</w:t>
            </w:r>
          </w:p>
        </w:tc>
      </w:tr>
      <w:tr w:rsidR="00C81AD8" w:rsidTr="000D12D2">
        <w:trPr>
          <w:jc w:val="center"/>
        </w:trPr>
        <w:tc>
          <w:tcPr>
            <w:tcW w:w="2925" w:type="dxa"/>
          </w:tcPr>
          <w:p w:rsidR="00C81AD8" w:rsidRDefault="00C81AD8" w:rsidP="007035B0">
            <w:pPr>
              <w:rPr>
                <w:i/>
                <w:color w:val="0000FF"/>
                <w:sz w:val="22"/>
                <w:szCs w:val="22"/>
              </w:rPr>
            </w:pPr>
            <w:r w:rsidRPr="0072207A">
              <w:rPr>
                <w:i/>
                <w:color w:val="0000FF"/>
                <w:sz w:val="22"/>
                <w:szCs w:val="22"/>
              </w:rPr>
              <w:t>The Customer acquires a PEV and conta</w:t>
            </w:r>
            <w:r>
              <w:rPr>
                <w:i/>
                <w:color w:val="0000FF"/>
                <w:sz w:val="22"/>
                <w:szCs w:val="22"/>
              </w:rPr>
              <w:t xml:space="preserve">cts the Utility to enroll in an Optimized Energy Transfer </w:t>
            </w:r>
            <w:r w:rsidRPr="0072207A">
              <w:rPr>
                <w:i/>
                <w:color w:val="0000FF"/>
                <w:sz w:val="22"/>
                <w:szCs w:val="22"/>
              </w:rPr>
              <w:t>program</w:t>
            </w:r>
            <w:r w:rsidR="009A1199">
              <w:rPr>
                <w:i/>
                <w:color w:val="0000FF"/>
                <w:sz w:val="22"/>
                <w:szCs w:val="22"/>
              </w:rPr>
              <w:t xml:space="preserve"> including DER</w:t>
            </w:r>
            <w:r>
              <w:rPr>
                <w:i/>
                <w:color w:val="0000FF"/>
                <w:sz w:val="22"/>
                <w:szCs w:val="22"/>
              </w:rPr>
              <w:t>.</w:t>
            </w:r>
          </w:p>
          <w:p w:rsidR="00C81AD8" w:rsidRPr="0072207A" w:rsidRDefault="00C81AD8" w:rsidP="007035B0">
            <w:pPr>
              <w:rPr>
                <w:i/>
                <w:color w:val="0000FF"/>
                <w:sz w:val="22"/>
                <w:szCs w:val="22"/>
              </w:rPr>
            </w:pPr>
            <w:r>
              <w:rPr>
                <w:i/>
                <w:color w:val="0000FF"/>
                <w:sz w:val="22"/>
                <w:szCs w:val="22"/>
              </w:rPr>
              <w:t>The customer may be prompted by the dealer, VM, retail store, utility and more for specific programs</w:t>
            </w:r>
          </w:p>
        </w:tc>
        <w:tc>
          <w:tcPr>
            <w:tcW w:w="2925" w:type="dxa"/>
          </w:tcPr>
          <w:p w:rsidR="00C81AD8" w:rsidRPr="0072207A" w:rsidRDefault="00C81AD8" w:rsidP="007035B0">
            <w:pPr>
              <w:rPr>
                <w:i/>
                <w:color w:val="0000FF"/>
                <w:sz w:val="22"/>
                <w:szCs w:val="22"/>
              </w:rPr>
            </w:pPr>
            <w:r w:rsidRPr="0072207A">
              <w:rPr>
                <w:i/>
                <w:color w:val="0000FF"/>
                <w:sz w:val="22"/>
                <w:szCs w:val="22"/>
              </w:rPr>
              <w:t xml:space="preserve">Customer </w:t>
            </w:r>
          </w:p>
        </w:tc>
        <w:tc>
          <w:tcPr>
            <w:tcW w:w="2925" w:type="dxa"/>
            <w:shd w:val="clear" w:color="auto" w:fill="FFFFFF"/>
          </w:tcPr>
          <w:p w:rsidR="00C81AD8" w:rsidRPr="0072207A" w:rsidRDefault="00C81AD8" w:rsidP="007035B0">
            <w:pPr>
              <w:rPr>
                <w:i/>
                <w:color w:val="0000FF"/>
                <w:sz w:val="22"/>
                <w:szCs w:val="22"/>
              </w:rPr>
            </w:pPr>
            <w:r w:rsidRPr="0072207A">
              <w:rPr>
                <w:i/>
                <w:color w:val="0000FF"/>
                <w:sz w:val="22"/>
                <w:szCs w:val="22"/>
              </w:rPr>
              <w:t xml:space="preserve">Customer has a PEV </w:t>
            </w:r>
            <w:r w:rsidR="004B0603">
              <w:rPr>
                <w:i/>
                <w:color w:val="0000FF"/>
                <w:sz w:val="22"/>
                <w:szCs w:val="22"/>
              </w:rPr>
              <w:t xml:space="preserve">capable of DER, </w:t>
            </w:r>
            <w:r w:rsidRPr="0072207A">
              <w:rPr>
                <w:i/>
                <w:color w:val="0000FF"/>
                <w:sz w:val="22"/>
                <w:szCs w:val="22"/>
              </w:rPr>
              <w:t xml:space="preserve">and wishes to enroll </w:t>
            </w:r>
            <w:r>
              <w:rPr>
                <w:i/>
                <w:color w:val="0000FF"/>
                <w:sz w:val="22"/>
                <w:szCs w:val="22"/>
              </w:rPr>
              <w:t xml:space="preserve">an Optimized Energy Transfer </w:t>
            </w:r>
            <w:r w:rsidR="004B0603">
              <w:rPr>
                <w:i/>
                <w:color w:val="0000FF"/>
                <w:sz w:val="22"/>
                <w:szCs w:val="22"/>
              </w:rPr>
              <w:t xml:space="preserve">and DER </w:t>
            </w:r>
            <w:r w:rsidRPr="0072207A">
              <w:rPr>
                <w:i/>
                <w:color w:val="0000FF"/>
                <w:sz w:val="22"/>
                <w:szCs w:val="22"/>
              </w:rPr>
              <w:t xml:space="preserve">program; Utility offers PEV Programs to its customers. </w:t>
            </w:r>
          </w:p>
        </w:tc>
        <w:tc>
          <w:tcPr>
            <w:tcW w:w="2925" w:type="dxa"/>
            <w:shd w:val="clear" w:color="auto" w:fill="FFFFFF"/>
          </w:tcPr>
          <w:p w:rsidR="00C81AD8" w:rsidRPr="0072207A" w:rsidRDefault="00C81AD8" w:rsidP="007035B0">
            <w:pPr>
              <w:rPr>
                <w:i/>
                <w:color w:val="0000FF"/>
                <w:sz w:val="22"/>
                <w:szCs w:val="22"/>
              </w:rPr>
            </w:pPr>
            <w:r w:rsidRPr="0072207A">
              <w:rPr>
                <w:i/>
                <w:color w:val="0000FF"/>
                <w:sz w:val="22"/>
                <w:szCs w:val="22"/>
              </w:rPr>
              <w:t>The Utility has successfully enrolled a Customer PEV in</w:t>
            </w:r>
            <w:r>
              <w:rPr>
                <w:i/>
                <w:color w:val="0000FF"/>
                <w:sz w:val="22"/>
                <w:szCs w:val="22"/>
              </w:rPr>
              <w:t xml:space="preserve"> an Optimized Energy Transfer </w:t>
            </w:r>
            <w:r w:rsidRPr="0072207A">
              <w:rPr>
                <w:i/>
                <w:color w:val="0000FF"/>
                <w:sz w:val="22"/>
                <w:szCs w:val="22"/>
              </w:rPr>
              <w:t>Program.</w:t>
            </w:r>
          </w:p>
        </w:tc>
      </w:tr>
    </w:tbl>
    <w:p w:rsidR="00667AB3" w:rsidRDefault="00667AB3"/>
    <w:p w:rsidR="00667AB3" w:rsidRDefault="006C3B38">
      <w:pPr>
        <w:pStyle w:val="Heading2"/>
      </w:pPr>
      <w:r>
        <w:t>Steps for this scenario</w:t>
      </w:r>
    </w:p>
    <w:p w:rsidR="00667AB3" w:rsidRDefault="006C3B38">
      <w:pPr>
        <w:rPr>
          <w:sz w:val="20"/>
          <w:szCs w:val="20"/>
        </w:rPr>
      </w:pPr>
      <w:r>
        <w:rPr>
          <w:i/>
          <w:sz w:val="20"/>
          <w:szCs w:val="20"/>
        </w:rPr>
        <w:t xml:space="preserve">Describe the normal sequence of events that is required to complete the scenario. </w:t>
      </w:r>
    </w:p>
    <w:p w:rsidR="00667AB3" w:rsidRDefault="00667AB3"/>
    <w:tbl>
      <w:tblPr>
        <w:tblStyle w:val="a1"/>
        <w:tblW w:w="117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1170"/>
        <w:gridCol w:w="4950"/>
        <w:gridCol w:w="3960"/>
      </w:tblGrid>
      <w:tr w:rsidR="00667AB3" w:rsidTr="00C81AD8">
        <w:trPr>
          <w:cantSplit/>
          <w:trHeight w:val="620"/>
          <w:tblHeader/>
          <w:jc w:val="center"/>
        </w:trPr>
        <w:tc>
          <w:tcPr>
            <w:tcW w:w="1620" w:type="dxa"/>
            <w:shd w:val="clear" w:color="auto" w:fill="E7E6E6"/>
            <w:vAlign w:val="center"/>
          </w:tcPr>
          <w:p w:rsidR="00667AB3" w:rsidRDefault="006C3B38">
            <w:pPr>
              <w:contextualSpacing w:val="0"/>
              <w:jc w:val="center"/>
              <w:rPr>
                <w:b/>
              </w:rPr>
            </w:pPr>
            <w:r>
              <w:rPr>
                <w:b/>
              </w:rPr>
              <w:t>Step #</w:t>
            </w:r>
          </w:p>
        </w:tc>
        <w:tc>
          <w:tcPr>
            <w:tcW w:w="1170" w:type="dxa"/>
            <w:shd w:val="clear" w:color="auto" w:fill="E7E6E6"/>
            <w:vAlign w:val="center"/>
          </w:tcPr>
          <w:p w:rsidR="00667AB3" w:rsidRDefault="006C3B38">
            <w:pPr>
              <w:contextualSpacing w:val="0"/>
              <w:jc w:val="center"/>
              <w:rPr>
                <w:b/>
              </w:rPr>
            </w:pPr>
            <w:r>
              <w:rPr>
                <w:b/>
              </w:rPr>
              <w:t>Actor</w:t>
            </w:r>
          </w:p>
        </w:tc>
        <w:tc>
          <w:tcPr>
            <w:tcW w:w="4950" w:type="dxa"/>
            <w:shd w:val="clear" w:color="auto" w:fill="E7E6E6"/>
            <w:vAlign w:val="center"/>
          </w:tcPr>
          <w:p w:rsidR="00667AB3" w:rsidRDefault="006C3B38">
            <w:pPr>
              <w:contextualSpacing w:val="0"/>
              <w:jc w:val="center"/>
              <w:rPr>
                <w:b/>
              </w:rPr>
            </w:pPr>
            <w:r>
              <w:rPr>
                <w:b/>
              </w:rPr>
              <w:t>Description of the Step</w:t>
            </w:r>
          </w:p>
        </w:tc>
        <w:tc>
          <w:tcPr>
            <w:tcW w:w="3960" w:type="dxa"/>
            <w:shd w:val="clear" w:color="auto" w:fill="E7E6E6"/>
            <w:vAlign w:val="center"/>
          </w:tcPr>
          <w:p w:rsidR="00667AB3" w:rsidRDefault="006C3B38">
            <w:pPr>
              <w:contextualSpacing w:val="0"/>
              <w:jc w:val="center"/>
              <w:rPr>
                <w:b/>
              </w:rPr>
            </w:pPr>
            <w:r>
              <w:rPr>
                <w:b/>
              </w:rPr>
              <w:t>Additional Notes</w:t>
            </w: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sidRPr="00D30AFB">
              <w:rPr>
                <w:sz w:val="22"/>
                <w:szCs w:val="22"/>
              </w:rPr>
              <w:t>1</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Customer</w:t>
            </w:r>
          </w:p>
        </w:tc>
        <w:tc>
          <w:tcPr>
            <w:tcW w:w="4950" w:type="dxa"/>
            <w:shd w:val="clear" w:color="auto" w:fill="FFFFFF"/>
          </w:tcPr>
          <w:p w:rsidR="00C81AD8" w:rsidRPr="00D30AFB" w:rsidRDefault="00C81AD8" w:rsidP="007035B0">
            <w:pPr>
              <w:rPr>
                <w:sz w:val="22"/>
                <w:szCs w:val="22"/>
              </w:rPr>
            </w:pPr>
            <w:r w:rsidRPr="00BD4B26">
              <w:rPr>
                <w:sz w:val="22"/>
                <w:szCs w:val="22"/>
              </w:rPr>
              <w:t xml:space="preserve">Customer is informed of the </w:t>
            </w:r>
            <w:r>
              <w:rPr>
                <w:sz w:val="22"/>
                <w:szCs w:val="22"/>
              </w:rPr>
              <w:t>program's</w:t>
            </w:r>
            <w:r w:rsidRPr="00BD4B26">
              <w:rPr>
                <w:sz w:val="22"/>
                <w:szCs w:val="22"/>
              </w:rPr>
              <w:t xml:space="preserve"> cost </w:t>
            </w:r>
            <w:r>
              <w:rPr>
                <w:sz w:val="22"/>
                <w:szCs w:val="22"/>
              </w:rPr>
              <w:t>and/or benefits</w:t>
            </w:r>
            <w:r w:rsidRPr="00BD4B26">
              <w:rPr>
                <w:sz w:val="22"/>
                <w:szCs w:val="22"/>
              </w:rPr>
              <w:t>.</w:t>
            </w:r>
            <w:r w:rsidRPr="00D30AFB">
              <w:rPr>
                <w:vanish/>
                <w:sz w:val="22"/>
                <w:szCs w:val="22"/>
              </w:rPr>
              <w:t>UC133.1.1 C</w:t>
            </w:r>
          </w:p>
        </w:tc>
        <w:tc>
          <w:tcPr>
            <w:tcW w:w="3960" w:type="dxa"/>
            <w:shd w:val="clear" w:color="auto" w:fill="FFFFFF"/>
          </w:tcPr>
          <w:p w:rsidR="00C81AD8" w:rsidRPr="00D30AFB" w:rsidRDefault="00C81AD8" w:rsidP="007035B0">
            <w:pPr>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2</w:t>
            </w:r>
          </w:p>
        </w:tc>
        <w:tc>
          <w:tcPr>
            <w:tcW w:w="1170" w:type="dxa"/>
            <w:shd w:val="clear" w:color="auto" w:fill="FFFFFF"/>
          </w:tcPr>
          <w:p w:rsidR="00C81AD8" w:rsidRPr="00D30AFB" w:rsidRDefault="00C81AD8" w:rsidP="007035B0">
            <w:pPr>
              <w:spacing w:beforeLines="20" w:before="48" w:afterLines="20" w:after="48"/>
              <w:rPr>
                <w:sz w:val="22"/>
                <w:szCs w:val="22"/>
              </w:rPr>
            </w:pPr>
            <w:r>
              <w:rPr>
                <w:sz w:val="22"/>
                <w:szCs w:val="22"/>
              </w:rPr>
              <w:t>Customer</w:t>
            </w:r>
          </w:p>
        </w:tc>
        <w:tc>
          <w:tcPr>
            <w:tcW w:w="4950" w:type="dxa"/>
            <w:shd w:val="clear" w:color="auto" w:fill="FFFFFF"/>
          </w:tcPr>
          <w:p w:rsidR="00C81AD8" w:rsidRPr="00D30AFB" w:rsidRDefault="00C81AD8" w:rsidP="007035B0">
            <w:pPr>
              <w:rPr>
                <w:vanish/>
                <w:sz w:val="22"/>
                <w:szCs w:val="22"/>
              </w:rPr>
            </w:pPr>
            <w:r w:rsidRPr="00D30AFB">
              <w:rPr>
                <w:sz w:val="22"/>
                <w:szCs w:val="22"/>
              </w:rPr>
              <w:t xml:space="preserve">Customer initiates request to enroll PEV in </w:t>
            </w:r>
            <w:r w:rsidRPr="00666D7A">
              <w:rPr>
                <w:sz w:val="22"/>
                <w:szCs w:val="22"/>
              </w:rPr>
              <w:t xml:space="preserve">an </w:t>
            </w:r>
            <w:r w:rsidRPr="0023467A">
              <w:rPr>
                <w:sz w:val="22"/>
                <w:szCs w:val="22"/>
              </w:rPr>
              <w:t>Optimized Energy Transfer</w:t>
            </w:r>
            <w:r w:rsidRPr="00666D7A">
              <w:rPr>
                <w:sz w:val="22"/>
                <w:szCs w:val="22"/>
              </w:rPr>
              <w:t xml:space="preserve"> </w:t>
            </w:r>
            <w:r w:rsidRPr="00D30AFB">
              <w:rPr>
                <w:sz w:val="22"/>
                <w:szCs w:val="22"/>
              </w:rPr>
              <w:t>Program by contacting Utility and provides Customer and PEV information (i.e. Customer Account information, PEV ID, etc.).</w:t>
            </w:r>
          </w:p>
        </w:tc>
        <w:tc>
          <w:tcPr>
            <w:tcW w:w="396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Customer uses phone, Internet, or other communications channel.</w:t>
            </w: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3</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Utility</w:t>
            </w:r>
          </w:p>
        </w:tc>
        <w:tc>
          <w:tcPr>
            <w:tcW w:w="4950" w:type="dxa"/>
            <w:shd w:val="clear" w:color="auto" w:fill="FFFFFF"/>
          </w:tcPr>
          <w:p w:rsidR="00C81AD8" w:rsidRPr="00D30AFB" w:rsidRDefault="00C81AD8" w:rsidP="007035B0">
            <w:pPr>
              <w:spacing w:beforeLines="20" w:before="48" w:afterLines="20" w:after="48"/>
              <w:rPr>
                <w:sz w:val="22"/>
                <w:szCs w:val="22"/>
              </w:rPr>
            </w:pPr>
            <w:r w:rsidRPr="00D30AFB">
              <w:rPr>
                <w:bCs/>
                <w:sz w:val="22"/>
                <w:szCs w:val="22"/>
              </w:rPr>
              <w:t xml:space="preserve">Utility sends </w:t>
            </w:r>
            <w:r>
              <w:rPr>
                <w:bCs/>
                <w:sz w:val="22"/>
                <w:szCs w:val="22"/>
              </w:rPr>
              <w:t xml:space="preserve">general program information in the </w:t>
            </w:r>
            <w:r w:rsidRPr="00D30AFB">
              <w:rPr>
                <w:bCs/>
                <w:sz w:val="22"/>
                <w:szCs w:val="22"/>
              </w:rPr>
              <w:t>application form</w:t>
            </w:r>
            <w:r>
              <w:rPr>
                <w:bCs/>
                <w:sz w:val="22"/>
                <w:szCs w:val="22"/>
              </w:rPr>
              <w:t>,</w:t>
            </w:r>
            <w:r w:rsidRPr="00D30AFB">
              <w:rPr>
                <w:bCs/>
                <w:sz w:val="22"/>
                <w:szCs w:val="22"/>
              </w:rPr>
              <w:t xml:space="preserve"> via web or mail</w:t>
            </w:r>
          </w:p>
        </w:tc>
        <w:tc>
          <w:tcPr>
            <w:tcW w:w="3960" w:type="dxa"/>
            <w:shd w:val="clear" w:color="auto" w:fill="FFFFFF"/>
          </w:tcPr>
          <w:p w:rsidR="00C81AD8" w:rsidRPr="00D30AFB" w:rsidRDefault="00C81AD8" w:rsidP="007035B0">
            <w:pPr>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4</w:t>
            </w:r>
          </w:p>
        </w:tc>
        <w:tc>
          <w:tcPr>
            <w:tcW w:w="1170" w:type="dxa"/>
            <w:shd w:val="clear" w:color="auto" w:fill="FFFFFF"/>
          </w:tcPr>
          <w:p w:rsidR="00C81AD8" w:rsidRPr="00D30AFB" w:rsidRDefault="00C81AD8" w:rsidP="007035B0">
            <w:pPr>
              <w:spacing w:beforeLines="20" w:before="48" w:afterLines="20" w:after="48"/>
              <w:rPr>
                <w:sz w:val="22"/>
                <w:szCs w:val="22"/>
              </w:rPr>
            </w:pPr>
            <w:r>
              <w:rPr>
                <w:sz w:val="22"/>
                <w:szCs w:val="22"/>
              </w:rPr>
              <w:t>Customer</w:t>
            </w:r>
          </w:p>
        </w:tc>
        <w:tc>
          <w:tcPr>
            <w:tcW w:w="4950" w:type="dxa"/>
            <w:shd w:val="clear" w:color="auto" w:fill="FFFFFF"/>
          </w:tcPr>
          <w:p w:rsidR="00C81AD8" w:rsidRPr="00D30AFB" w:rsidRDefault="00C81AD8" w:rsidP="007035B0">
            <w:pPr>
              <w:spacing w:beforeLines="20" w:before="48" w:afterLines="20" w:after="48"/>
              <w:rPr>
                <w:bCs/>
                <w:sz w:val="22"/>
                <w:szCs w:val="22"/>
              </w:rPr>
            </w:pPr>
            <w:r w:rsidRPr="00BD4B26">
              <w:rPr>
                <w:sz w:val="22"/>
                <w:szCs w:val="22"/>
              </w:rPr>
              <w:t xml:space="preserve">Customer makes a decision of </w:t>
            </w:r>
            <w:r>
              <w:rPr>
                <w:sz w:val="22"/>
                <w:szCs w:val="22"/>
              </w:rPr>
              <w:t>when and where to use the program</w:t>
            </w:r>
            <w:r w:rsidRPr="00BD4B26">
              <w:rPr>
                <w:sz w:val="22"/>
                <w:szCs w:val="22"/>
              </w:rPr>
              <w:t xml:space="preserve"> (based on need and cost).</w:t>
            </w:r>
          </w:p>
        </w:tc>
        <w:tc>
          <w:tcPr>
            <w:tcW w:w="3960" w:type="dxa"/>
            <w:shd w:val="clear" w:color="auto" w:fill="FFFFFF"/>
          </w:tcPr>
          <w:p w:rsidR="00C81AD8" w:rsidRPr="00D30AFB" w:rsidRDefault="00C81AD8" w:rsidP="007035B0">
            <w:pPr>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5</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Customer</w:t>
            </w:r>
          </w:p>
        </w:tc>
        <w:tc>
          <w:tcPr>
            <w:tcW w:w="4950" w:type="dxa"/>
            <w:shd w:val="clear" w:color="auto" w:fill="FFFFFF"/>
          </w:tcPr>
          <w:p w:rsidR="00C81AD8" w:rsidRPr="00D30AFB" w:rsidRDefault="00C81AD8" w:rsidP="007035B0">
            <w:pPr>
              <w:spacing w:beforeLines="20" w:before="48" w:afterLines="20" w:after="48"/>
              <w:rPr>
                <w:sz w:val="22"/>
                <w:szCs w:val="22"/>
              </w:rPr>
            </w:pPr>
            <w:r w:rsidRPr="00D30AFB">
              <w:rPr>
                <w:bCs/>
                <w:sz w:val="22"/>
                <w:szCs w:val="22"/>
              </w:rPr>
              <w:t>Customer completes enrollment form, returns to utility via web or mail</w:t>
            </w:r>
          </w:p>
        </w:tc>
        <w:tc>
          <w:tcPr>
            <w:tcW w:w="3960" w:type="dxa"/>
            <w:shd w:val="clear" w:color="auto" w:fill="FFFFFF"/>
          </w:tcPr>
          <w:p w:rsidR="00C81AD8" w:rsidRPr="00D30AFB" w:rsidRDefault="00C81AD8" w:rsidP="007035B0">
            <w:pPr>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6</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Utility</w:t>
            </w:r>
          </w:p>
        </w:tc>
        <w:tc>
          <w:tcPr>
            <w:tcW w:w="4950" w:type="dxa"/>
            <w:shd w:val="clear" w:color="auto" w:fill="FFFFFF"/>
          </w:tcPr>
          <w:p w:rsidR="00C81AD8" w:rsidRPr="00D30AFB" w:rsidRDefault="00C81AD8" w:rsidP="007035B0">
            <w:pPr>
              <w:spacing w:beforeLines="20" w:before="48" w:afterLines="20" w:after="48"/>
              <w:rPr>
                <w:sz w:val="22"/>
                <w:szCs w:val="22"/>
              </w:rPr>
            </w:pPr>
            <w:r w:rsidRPr="00D30AFB">
              <w:rPr>
                <w:bCs/>
                <w:sz w:val="22"/>
                <w:szCs w:val="22"/>
              </w:rPr>
              <w:t>Utility make a decision if the customer is eligible or not. Not eligible he notifies the customer</w:t>
            </w:r>
          </w:p>
        </w:tc>
        <w:tc>
          <w:tcPr>
            <w:tcW w:w="3960" w:type="dxa"/>
            <w:shd w:val="clear" w:color="auto" w:fill="FFFFFF"/>
          </w:tcPr>
          <w:p w:rsidR="00C81AD8" w:rsidRPr="00D30AFB" w:rsidRDefault="00C81AD8" w:rsidP="007035B0">
            <w:pPr>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lastRenderedPageBreak/>
              <w:t>7</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Utility</w:t>
            </w:r>
          </w:p>
        </w:tc>
        <w:tc>
          <w:tcPr>
            <w:tcW w:w="495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 xml:space="preserve">For eligible customers, utility notifies customer of </w:t>
            </w:r>
            <w:r>
              <w:rPr>
                <w:sz w:val="22"/>
                <w:szCs w:val="22"/>
              </w:rPr>
              <w:t xml:space="preserve">any updates to the program and </w:t>
            </w:r>
            <w:r w:rsidRPr="00D30AFB">
              <w:rPr>
                <w:sz w:val="22"/>
                <w:szCs w:val="22"/>
              </w:rPr>
              <w:t>in-service date</w:t>
            </w:r>
          </w:p>
        </w:tc>
        <w:tc>
          <w:tcPr>
            <w:tcW w:w="3960" w:type="dxa"/>
            <w:shd w:val="clear" w:color="auto" w:fill="FFFFFF"/>
          </w:tcPr>
          <w:p w:rsidR="00C81AD8" w:rsidRPr="00D30AFB" w:rsidRDefault="00C81AD8" w:rsidP="007035B0">
            <w:pPr>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8</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Utility</w:t>
            </w:r>
          </w:p>
        </w:tc>
        <w:tc>
          <w:tcPr>
            <w:tcW w:w="4950" w:type="dxa"/>
            <w:shd w:val="clear" w:color="auto" w:fill="FFFFFF"/>
          </w:tcPr>
          <w:p w:rsidR="00C81AD8" w:rsidRPr="00D30AFB" w:rsidRDefault="00C81AD8" w:rsidP="007035B0">
            <w:pPr>
              <w:rPr>
                <w:sz w:val="22"/>
                <w:szCs w:val="22"/>
              </w:rPr>
            </w:pPr>
            <w:r w:rsidRPr="00D30AFB">
              <w:rPr>
                <w:vanish/>
                <w:sz w:val="22"/>
                <w:szCs w:val="22"/>
              </w:rPr>
              <w:t>UC133.1.2 PU</w:t>
            </w:r>
            <w:r w:rsidRPr="00D30AFB">
              <w:rPr>
                <w:sz w:val="22"/>
                <w:szCs w:val="22"/>
              </w:rPr>
              <w:t>Utility authenticates Customer, Customer account, and Premise information, and collects PEV information including PEV ID.</w:t>
            </w:r>
          </w:p>
        </w:tc>
        <w:tc>
          <w:tcPr>
            <w:tcW w:w="3960" w:type="dxa"/>
            <w:shd w:val="clear" w:color="auto" w:fill="FFFFFF"/>
          </w:tcPr>
          <w:p w:rsidR="00C81AD8" w:rsidRPr="00D30AFB" w:rsidRDefault="00C81AD8" w:rsidP="007035B0">
            <w:pPr>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9</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Utility</w:t>
            </w:r>
          </w:p>
        </w:tc>
        <w:tc>
          <w:tcPr>
            <w:tcW w:w="4950" w:type="dxa"/>
            <w:shd w:val="clear" w:color="auto" w:fill="FFFFFF"/>
          </w:tcPr>
          <w:p w:rsidR="00C81AD8" w:rsidRPr="00D30AFB" w:rsidRDefault="00C81AD8" w:rsidP="007035B0">
            <w:pPr>
              <w:rPr>
                <w:sz w:val="22"/>
                <w:szCs w:val="22"/>
              </w:rPr>
            </w:pPr>
            <w:r w:rsidRPr="00D30AFB">
              <w:rPr>
                <w:sz w:val="22"/>
                <w:szCs w:val="22"/>
              </w:rPr>
              <w:t xml:space="preserve">Utility presents Customer with </w:t>
            </w:r>
            <w:r>
              <w:rPr>
                <w:sz w:val="22"/>
                <w:szCs w:val="22"/>
              </w:rPr>
              <w:t>the</w:t>
            </w:r>
            <w:r w:rsidRPr="00666D7A">
              <w:rPr>
                <w:sz w:val="22"/>
                <w:szCs w:val="22"/>
              </w:rPr>
              <w:t xml:space="preserve"> </w:t>
            </w:r>
            <w:r w:rsidRPr="0023467A">
              <w:rPr>
                <w:sz w:val="22"/>
                <w:szCs w:val="22"/>
              </w:rPr>
              <w:t xml:space="preserve">Optimized Energy Transfer </w:t>
            </w:r>
            <w:r w:rsidRPr="00D30AFB">
              <w:rPr>
                <w:sz w:val="22"/>
                <w:szCs w:val="22"/>
              </w:rPr>
              <w:t>Program information and schedule selections</w:t>
            </w:r>
          </w:p>
        </w:tc>
        <w:tc>
          <w:tcPr>
            <w:tcW w:w="3960" w:type="dxa"/>
            <w:shd w:val="clear" w:color="auto" w:fill="FFFFFF"/>
          </w:tcPr>
          <w:p w:rsidR="00C81AD8" w:rsidRPr="00D30AFB" w:rsidRDefault="00C81AD8" w:rsidP="007035B0">
            <w:pPr>
              <w:tabs>
                <w:tab w:val="right" w:leader="dot" w:pos="9355"/>
              </w:tabs>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10</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Utility</w:t>
            </w:r>
          </w:p>
        </w:tc>
        <w:tc>
          <w:tcPr>
            <w:tcW w:w="4950" w:type="dxa"/>
            <w:shd w:val="clear" w:color="auto" w:fill="FFFFFF"/>
          </w:tcPr>
          <w:p w:rsidR="00C81AD8" w:rsidRPr="00D30AFB" w:rsidRDefault="00C81AD8" w:rsidP="007035B0">
            <w:pPr>
              <w:rPr>
                <w:sz w:val="22"/>
                <w:szCs w:val="22"/>
              </w:rPr>
            </w:pPr>
            <w:r w:rsidRPr="00D30AFB">
              <w:rPr>
                <w:sz w:val="22"/>
                <w:szCs w:val="22"/>
              </w:rPr>
              <w:t>Utility schedules metering installation, issues cut-over order (internal process order, billing, parameters of billing, financial network),  notifies customer of meter installation (in-service) date</w:t>
            </w:r>
          </w:p>
        </w:tc>
        <w:tc>
          <w:tcPr>
            <w:tcW w:w="3960" w:type="dxa"/>
            <w:shd w:val="clear" w:color="auto" w:fill="FFFFFF"/>
          </w:tcPr>
          <w:p w:rsidR="00C81AD8" w:rsidRPr="00D30AFB" w:rsidRDefault="00C81AD8" w:rsidP="007035B0">
            <w:pPr>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11</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Utility</w:t>
            </w:r>
          </w:p>
        </w:tc>
        <w:tc>
          <w:tcPr>
            <w:tcW w:w="4950" w:type="dxa"/>
            <w:shd w:val="clear" w:color="auto" w:fill="FFFFFF"/>
          </w:tcPr>
          <w:p w:rsidR="00C81AD8" w:rsidRPr="00D30AFB" w:rsidRDefault="00C81AD8" w:rsidP="007035B0">
            <w:pPr>
              <w:rPr>
                <w:sz w:val="22"/>
                <w:szCs w:val="22"/>
              </w:rPr>
            </w:pPr>
            <w:r w:rsidRPr="00D30AFB">
              <w:rPr>
                <w:sz w:val="22"/>
                <w:szCs w:val="22"/>
              </w:rPr>
              <w:t>Utility installs meter, undertakes back-office administrative actions</w:t>
            </w:r>
          </w:p>
        </w:tc>
        <w:tc>
          <w:tcPr>
            <w:tcW w:w="3960" w:type="dxa"/>
            <w:shd w:val="clear" w:color="auto" w:fill="FFFFFF"/>
          </w:tcPr>
          <w:p w:rsidR="00C81AD8" w:rsidRPr="00D30AFB" w:rsidRDefault="00C81AD8" w:rsidP="007035B0">
            <w:pPr>
              <w:spacing w:beforeLines="20" w:before="48" w:afterLines="20" w:after="48"/>
              <w:rPr>
                <w:sz w:val="22"/>
                <w:szCs w:val="22"/>
              </w:rPr>
            </w:pPr>
            <w:r>
              <w:rPr>
                <w:sz w:val="22"/>
                <w:szCs w:val="22"/>
              </w:rPr>
              <w:t>The</w:t>
            </w:r>
            <w:r w:rsidRPr="00D30AFB">
              <w:rPr>
                <w:sz w:val="22"/>
                <w:szCs w:val="22"/>
              </w:rPr>
              <w:t xml:space="preserve"> Recording Meter </w:t>
            </w:r>
            <w:r>
              <w:rPr>
                <w:sz w:val="22"/>
                <w:szCs w:val="22"/>
              </w:rPr>
              <w:t>is p</w:t>
            </w:r>
            <w:r w:rsidRPr="00D30AFB">
              <w:rPr>
                <w:sz w:val="22"/>
                <w:szCs w:val="22"/>
              </w:rPr>
              <w:t xml:space="preserve">reprogrammed based on </w:t>
            </w:r>
            <w:r>
              <w:rPr>
                <w:sz w:val="22"/>
                <w:szCs w:val="22"/>
              </w:rPr>
              <w:t>the program</w:t>
            </w:r>
            <w:r w:rsidRPr="00D30AFB">
              <w:rPr>
                <w:sz w:val="22"/>
                <w:szCs w:val="22"/>
              </w:rPr>
              <w:t>. It can have either two or three registers (peak, off-peak, shoulder peak). If the customer has AMI meter, utility informs the meter on the new data (two-way communication. It will change the instruction set. The cut in order will take the back office to cumulative in on-peak or off-peak</w:t>
            </w: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12</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Utility</w:t>
            </w:r>
          </w:p>
        </w:tc>
        <w:tc>
          <w:tcPr>
            <w:tcW w:w="4950" w:type="dxa"/>
            <w:shd w:val="clear" w:color="auto" w:fill="FFFFFF"/>
          </w:tcPr>
          <w:p w:rsidR="00C81AD8" w:rsidRPr="00D30AFB" w:rsidRDefault="00C81AD8" w:rsidP="007035B0">
            <w:pPr>
              <w:rPr>
                <w:sz w:val="22"/>
                <w:szCs w:val="22"/>
              </w:rPr>
            </w:pPr>
            <w:r w:rsidRPr="00D30AFB">
              <w:rPr>
                <w:sz w:val="22"/>
                <w:szCs w:val="22"/>
              </w:rPr>
              <w:t xml:space="preserve">Utility switches service to </w:t>
            </w:r>
            <w:r>
              <w:rPr>
                <w:sz w:val="22"/>
                <w:szCs w:val="22"/>
              </w:rPr>
              <w:t>the</w:t>
            </w:r>
            <w:r w:rsidRPr="00666D7A">
              <w:rPr>
                <w:sz w:val="22"/>
                <w:szCs w:val="22"/>
              </w:rPr>
              <w:t xml:space="preserve"> </w:t>
            </w:r>
            <w:r w:rsidRPr="0023467A">
              <w:rPr>
                <w:sz w:val="22"/>
                <w:szCs w:val="22"/>
              </w:rPr>
              <w:t xml:space="preserve">Optimized Energy Transfer </w:t>
            </w:r>
            <w:r w:rsidRPr="00D30AFB">
              <w:rPr>
                <w:sz w:val="22"/>
                <w:szCs w:val="22"/>
              </w:rPr>
              <w:t>and issues final bill for old service to customer</w:t>
            </w:r>
          </w:p>
          <w:p w:rsidR="00C81AD8" w:rsidRPr="00D30AFB" w:rsidRDefault="00C81AD8" w:rsidP="007035B0">
            <w:pPr>
              <w:rPr>
                <w:sz w:val="22"/>
                <w:szCs w:val="22"/>
              </w:rPr>
            </w:pPr>
          </w:p>
        </w:tc>
        <w:tc>
          <w:tcPr>
            <w:tcW w:w="3960" w:type="dxa"/>
            <w:shd w:val="clear" w:color="auto" w:fill="FFFFFF"/>
          </w:tcPr>
          <w:p w:rsidR="00C81AD8" w:rsidRPr="00D30AFB" w:rsidRDefault="00C81AD8" w:rsidP="007035B0">
            <w:pPr>
              <w:spacing w:beforeLines="20" w:before="48" w:afterLines="20" w:after="48"/>
              <w:rPr>
                <w:sz w:val="22"/>
                <w:szCs w:val="22"/>
              </w:rPr>
            </w:pPr>
          </w:p>
        </w:tc>
      </w:tr>
      <w:tr w:rsidR="00C81AD8" w:rsidTr="00C81AD8">
        <w:trPr>
          <w:cantSplit/>
          <w:jc w:val="center"/>
        </w:trPr>
        <w:tc>
          <w:tcPr>
            <w:tcW w:w="1620" w:type="dxa"/>
          </w:tcPr>
          <w:p w:rsidR="00C81AD8" w:rsidRPr="00D30AFB" w:rsidRDefault="00C81AD8" w:rsidP="007035B0">
            <w:pPr>
              <w:spacing w:beforeLines="20" w:before="48" w:afterLines="20" w:after="48"/>
              <w:jc w:val="center"/>
              <w:rPr>
                <w:sz w:val="22"/>
                <w:szCs w:val="22"/>
              </w:rPr>
            </w:pPr>
            <w:r>
              <w:rPr>
                <w:sz w:val="22"/>
                <w:szCs w:val="22"/>
              </w:rPr>
              <w:t>13</w:t>
            </w:r>
          </w:p>
        </w:tc>
        <w:tc>
          <w:tcPr>
            <w:tcW w:w="117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Customer</w:t>
            </w:r>
          </w:p>
        </w:tc>
        <w:tc>
          <w:tcPr>
            <w:tcW w:w="4950" w:type="dxa"/>
            <w:shd w:val="clear" w:color="auto" w:fill="FFFFFF"/>
          </w:tcPr>
          <w:p w:rsidR="00C81AD8" w:rsidRPr="00D30AFB" w:rsidRDefault="00C81AD8" w:rsidP="007035B0">
            <w:pPr>
              <w:rPr>
                <w:sz w:val="22"/>
                <w:szCs w:val="22"/>
              </w:rPr>
            </w:pPr>
            <w:r w:rsidRPr="00D30AFB">
              <w:rPr>
                <w:sz w:val="22"/>
                <w:szCs w:val="22"/>
              </w:rPr>
              <w:t xml:space="preserve">Customer commences </w:t>
            </w:r>
            <w:r w:rsidRPr="0023467A">
              <w:rPr>
                <w:sz w:val="22"/>
                <w:szCs w:val="22"/>
              </w:rPr>
              <w:t xml:space="preserve">Optimized Energy Transfer </w:t>
            </w:r>
            <w:r w:rsidRPr="00D30AFB">
              <w:rPr>
                <w:sz w:val="22"/>
                <w:szCs w:val="22"/>
              </w:rPr>
              <w:t xml:space="preserve">service </w:t>
            </w:r>
          </w:p>
          <w:p w:rsidR="00C81AD8" w:rsidRPr="00D30AFB" w:rsidRDefault="00C81AD8" w:rsidP="007035B0">
            <w:pPr>
              <w:rPr>
                <w:sz w:val="22"/>
                <w:szCs w:val="22"/>
              </w:rPr>
            </w:pPr>
            <w:r w:rsidRPr="00D30AFB">
              <w:rPr>
                <w:sz w:val="22"/>
                <w:szCs w:val="22"/>
              </w:rPr>
              <w:t xml:space="preserve">Customer selects PEV Program and Service Plan, sets PEV program parameters (i.e. guest charging, allow roaming, etc.).  The Customer and PEV are now enrolled in a utility </w:t>
            </w:r>
            <w:r w:rsidRPr="0023467A">
              <w:rPr>
                <w:sz w:val="22"/>
                <w:szCs w:val="22"/>
              </w:rPr>
              <w:t>Optimized Energy Transfer</w:t>
            </w:r>
            <w:r w:rsidRPr="00D30AFB">
              <w:rPr>
                <w:sz w:val="22"/>
                <w:szCs w:val="22"/>
              </w:rPr>
              <w:t xml:space="preserve"> program.</w:t>
            </w:r>
          </w:p>
        </w:tc>
        <w:tc>
          <w:tcPr>
            <w:tcW w:w="3960" w:type="dxa"/>
            <w:shd w:val="clear" w:color="auto" w:fill="FFFFFF"/>
          </w:tcPr>
          <w:p w:rsidR="00C81AD8" w:rsidRPr="00D30AFB" w:rsidRDefault="00C81AD8" w:rsidP="007035B0">
            <w:pPr>
              <w:spacing w:beforeLines="20" w:before="48" w:afterLines="20" w:after="48"/>
              <w:rPr>
                <w:sz w:val="22"/>
                <w:szCs w:val="22"/>
              </w:rPr>
            </w:pPr>
            <w:r w:rsidRPr="00D30AFB">
              <w:rPr>
                <w:sz w:val="22"/>
                <w:szCs w:val="22"/>
              </w:rPr>
              <w:t>Same schedule applies till a rate case or rate change takes place</w:t>
            </w:r>
            <w:r>
              <w:rPr>
                <w:sz w:val="22"/>
                <w:szCs w:val="22"/>
              </w:rPr>
              <w:t xml:space="preserve">. </w:t>
            </w:r>
            <w:r w:rsidRPr="00D30AFB">
              <w:rPr>
                <w:sz w:val="22"/>
                <w:szCs w:val="22"/>
              </w:rPr>
              <w:t>Nominal prices are subject to change based on utility supply cost (e</w:t>
            </w:r>
            <w:r>
              <w:rPr>
                <w:sz w:val="22"/>
                <w:szCs w:val="22"/>
              </w:rPr>
              <w:t>.</w:t>
            </w:r>
            <w:r w:rsidRPr="00D30AFB">
              <w:rPr>
                <w:sz w:val="22"/>
                <w:szCs w:val="22"/>
              </w:rPr>
              <w:t>g. fuel price).</w:t>
            </w:r>
          </w:p>
        </w:tc>
      </w:tr>
    </w:tbl>
    <w:p w:rsidR="00667AB3" w:rsidRDefault="00667AB3"/>
    <w:p w:rsidR="00534E82" w:rsidRDefault="00534E82">
      <w:r>
        <w:t xml:space="preserve">Figure 1 shows the approach for U5: Optimized Charging using the </w:t>
      </w:r>
      <w:proofErr w:type="spellStart"/>
      <w:r>
        <w:t>FlowReservation</w:t>
      </w:r>
      <w:proofErr w:type="spellEnd"/>
      <w:r>
        <w:t xml:space="preserve"> function set. When the PEV connects to the grid using the EVSE, it receives the next 24 hour price and DR schedule. The customer either preprograms or enters Time Charge Is Needed (TCIN) for when they want to use the vehicle next. The vehicle then determines the amount of energy, power level to fully charge the HV battery and offers choices to the customer as to “charge now, lowest cost period or lowest cost and include DR curtailment or delays” as shown in Figure 2.</w:t>
      </w:r>
    </w:p>
    <w:p w:rsidR="00534E82" w:rsidRDefault="00534E82"/>
    <w:p w:rsidR="00534E82" w:rsidRDefault="00534E82" w:rsidP="00534E82">
      <w:pPr>
        <w:jc w:val="center"/>
      </w:pPr>
      <w:r w:rsidRPr="00534E82">
        <w:drawing>
          <wp:inline distT="0" distB="0" distL="0" distR="0" wp14:anchorId="0CB8FA35" wp14:editId="2F6377DB">
            <wp:extent cx="5943600" cy="3979545"/>
            <wp:effectExtent l="0" t="0" r="0" b="1905"/>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979545"/>
                    </a:xfrm>
                    <a:prstGeom prst="rect">
                      <a:avLst/>
                    </a:prstGeom>
                    <a:noFill/>
                    <a:ln>
                      <a:noFill/>
                    </a:ln>
                    <a:extLst/>
                  </pic:spPr>
                </pic:pic>
              </a:graphicData>
            </a:graphic>
          </wp:inline>
        </w:drawing>
      </w:r>
    </w:p>
    <w:p w:rsidR="00534E82" w:rsidRDefault="00534E82" w:rsidP="00534E82">
      <w:pPr>
        <w:jc w:val="center"/>
      </w:pPr>
      <w:r>
        <w:t>Figure 1 – Optimized Charging TCIN, price and DR summary</w:t>
      </w:r>
    </w:p>
    <w:p w:rsidR="00534E82" w:rsidRDefault="00534E82" w:rsidP="00534E82">
      <w:pPr>
        <w:jc w:val="center"/>
      </w:pPr>
    </w:p>
    <w:p w:rsidR="00534E82" w:rsidRDefault="00534E82" w:rsidP="00534E82">
      <w:pPr>
        <w:jc w:val="center"/>
      </w:pPr>
      <w:r w:rsidRPr="00534E82">
        <w:lastRenderedPageBreak/>
        <w:drawing>
          <wp:inline distT="0" distB="0" distL="0" distR="0" wp14:anchorId="642AF8DC" wp14:editId="5F99EF74">
            <wp:extent cx="5943600" cy="3979545"/>
            <wp:effectExtent l="0" t="0" r="0" b="190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979545"/>
                    </a:xfrm>
                    <a:prstGeom prst="rect">
                      <a:avLst/>
                    </a:prstGeom>
                    <a:noFill/>
                    <a:ln>
                      <a:noFill/>
                    </a:ln>
                    <a:extLst/>
                  </pic:spPr>
                </pic:pic>
              </a:graphicData>
            </a:graphic>
          </wp:inline>
        </w:drawing>
      </w:r>
    </w:p>
    <w:p w:rsidR="00534E82" w:rsidRDefault="00534E82" w:rsidP="00534E82">
      <w:pPr>
        <w:jc w:val="center"/>
      </w:pPr>
      <w:r>
        <w:t xml:space="preserve">Figure </w:t>
      </w:r>
      <w:r>
        <w:t>2</w:t>
      </w:r>
      <w:r>
        <w:t xml:space="preserve"> – Optimized </w:t>
      </w:r>
      <w:r>
        <w:t>c</w:t>
      </w:r>
      <w:r>
        <w:t xml:space="preserve">harging </w:t>
      </w:r>
      <w:r>
        <w:t xml:space="preserve">choices with Actual </w:t>
      </w:r>
      <w:r>
        <w:t>TCIN</w:t>
      </w:r>
      <w:r>
        <w:t xml:space="preserve"> for end of charging session</w:t>
      </w:r>
    </w:p>
    <w:p w:rsidR="00534E82" w:rsidRDefault="00534E82" w:rsidP="00534E82">
      <w:pPr>
        <w:jc w:val="center"/>
      </w:pPr>
    </w:p>
    <w:p w:rsidR="00534E82" w:rsidRDefault="00534E82" w:rsidP="00534E82">
      <w:r>
        <w:t xml:space="preserve">As shown, the customer is on a CPP price program and the </w:t>
      </w:r>
      <w:proofErr w:type="gramStart"/>
      <w:r>
        <w:t>Fastest</w:t>
      </w:r>
      <w:proofErr w:type="gramEnd"/>
      <w:r>
        <w:t xml:space="preserve"> charge period would be at $1.00/kWh and would cost $15.20, whereas Cheapest &amp; Optimized is only $0.61. These are all within the Initial TCIN so the customer would program or choose one of the latter. If they have Demand Charge limits imposed, would only choose Optimized as not to impose those limits.</w:t>
      </w:r>
    </w:p>
    <w:p w:rsidR="00534E82" w:rsidRDefault="00534E82" w:rsidP="00534E82"/>
    <w:p w:rsidR="00534E82" w:rsidRDefault="00534E82" w:rsidP="00534E82">
      <w:r>
        <w:t>This Use case also includes DER so Figure 3 shows how the vehicle determines when to charge and discharge, then charge more based on the home loads and Demand Charge limit.</w:t>
      </w:r>
    </w:p>
    <w:p w:rsidR="00534E82" w:rsidRDefault="00534E82" w:rsidP="00534E82"/>
    <w:p w:rsidR="00534E82" w:rsidRDefault="00534E82" w:rsidP="00534E82">
      <w:pPr>
        <w:jc w:val="center"/>
      </w:pPr>
      <w:r w:rsidRPr="00534E82">
        <w:lastRenderedPageBreak/>
        <w:drawing>
          <wp:inline distT="0" distB="0" distL="0" distR="0" wp14:anchorId="6B6E4FAF" wp14:editId="01F3ECB5">
            <wp:extent cx="5943600" cy="33528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52800"/>
                    </a:xfrm>
                    <a:prstGeom prst="rect">
                      <a:avLst/>
                    </a:prstGeom>
                    <a:noFill/>
                    <a:ln>
                      <a:noFill/>
                    </a:ln>
                    <a:extLst/>
                  </pic:spPr>
                </pic:pic>
              </a:graphicData>
            </a:graphic>
          </wp:inline>
        </w:drawing>
      </w:r>
    </w:p>
    <w:p w:rsidR="00534E82" w:rsidRDefault="00534E82" w:rsidP="00534E82">
      <w:pPr>
        <w:jc w:val="center"/>
      </w:pPr>
      <w:r>
        <w:t xml:space="preserve">Figure </w:t>
      </w:r>
      <w:r w:rsidR="00F128EF">
        <w:t>3</w:t>
      </w:r>
      <w:r>
        <w:t xml:space="preserve"> – Optimized Charging </w:t>
      </w:r>
      <w:r w:rsidR="00F128EF">
        <w:t xml:space="preserve">including DER for the </w:t>
      </w:r>
      <w:r>
        <w:t>charging session</w:t>
      </w:r>
    </w:p>
    <w:p w:rsidR="00667AB3" w:rsidRDefault="006C3B38" w:rsidP="00534E82">
      <w:pPr>
        <w:jc w:val="center"/>
      </w:pPr>
      <w:r>
        <w:br w:type="column"/>
      </w:r>
    </w:p>
    <w:p w:rsidR="00667AB3" w:rsidRDefault="00667AB3"/>
    <w:tbl>
      <w:tblPr>
        <w:tblStyle w:val="a2"/>
        <w:tblW w:w="11250" w:type="dxa"/>
        <w:jc w:val="center"/>
        <w:tblInd w:w="-1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8730"/>
      </w:tblGrid>
      <w:tr w:rsidR="00667AB3" w:rsidTr="000D12D2">
        <w:trPr>
          <w:trHeight w:val="380"/>
          <w:jc w:val="center"/>
        </w:trPr>
        <w:tc>
          <w:tcPr>
            <w:tcW w:w="11250" w:type="dxa"/>
            <w:gridSpan w:val="2"/>
            <w:shd w:val="clear" w:color="auto" w:fill="E7E6E6"/>
            <w:vAlign w:val="center"/>
          </w:tcPr>
          <w:p w:rsidR="00667AB3" w:rsidRDefault="006C3B38">
            <w:pPr>
              <w:contextualSpacing w:val="0"/>
              <w:jc w:val="center"/>
              <w:rPr>
                <w:b/>
              </w:rPr>
            </w:pPr>
            <w:r>
              <w:rPr>
                <w:b/>
              </w:rPr>
              <w:t>Glossary</w:t>
            </w:r>
          </w:p>
        </w:tc>
      </w:tr>
      <w:tr w:rsidR="00667AB3" w:rsidTr="000D12D2">
        <w:trPr>
          <w:jc w:val="center"/>
        </w:trPr>
        <w:tc>
          <w:tcPr>
            <w:tcW w:w="2520" w:type="dxa"/>
            <w:shd w:val="clear" w:color="auto" w:fill="E7E6E6"/>
          </w:tcPr>
          <w:p w:rsidR="00667AB3" w:rsidRDefault="006C3B38">
            <w:pPr>
              <w:contextualSpacing w:val="0"/>
              <w:rPr>
                <w:b/>
              </w:rPr>
            </w:pPr>
            <w:r>
              <w:rPr>
                <w:b/>
              </w:rPr>
              <w:t>Term</w:t>
            </w:r>
          </w:p>
        </w:tc>
        <w:tc>
          <w:tcPr>
            <w:tcW w:w="8730" w:type="dxa"/>
            <w:shd w:val="clear" w:color="auto" w:fill="E7E6E6"/>
          </w:tcPr>
          <w:p w:rsidR="00667AB3" w:rsidRDefault="006C3B38">
            <w:pPr>
              <w:contextualSpacing w:val="0"/>
              <w:rPr>
                <w:b/>
              </w:rPr>
            </w:pPr>
            <w:r>
              <w:rPr>
                <w:b/>
              </w:rPr>
              <w:t>Definition</w:t>
            </w:r>
          </w:p>
        </w:tc>
      </w:tr>
      <w:tr w:rsidR="00667AB3" w:rsidTr="000D12D2">
        <w:trPr>
          <w:jc w:val="center"/>
        </w:trPr>
        <w:tc>
          <w:tcPr>
            <w:tcW w:w="2520" w:type="dxa"/>
          </w:tcPr>
          <w:p w:rsidR="00667AB3" w:rsidRDefault="00667AB3">
            <w:pPr>
              <w:contextualSpacing w:val="0"/>
            </w:pPr>
          </w:p>
        </w:tc>
        <w:tc>
          <w:tcPr>
            <w:tcW w:w="8730" w:type="dxa"/>
            <w:shd w:val="clear" w:color="auto" w:fill="FFFFFF"/>
          </w:tcPr>
          <w:p w:rsidR="00667AB3" w:rsidRDefault="00667AB3">
            <w:pPr>
              <w:contextualSpacing w:val="0"/>
            </w:pPr>
          </w:p>
        </w:tc>
      </w:tr>
      <w:tr w:rsidR="00BA2BD9" w:rsidTr="000D12D2">
        <w:trPr>
          <w:jc w:val="center"/>
        </w:trPr>
        <w:tc>
          <w:tcPr>
            <w:tcW w:w="2520" w:type="dxa"/>
          </w:tcPr>
          <w:p w:rsidR="00BA2BD9" w:rsidRDefault="00BA2BD9">
            <w:r>
              <w:t>CPP</w:t>
            </w:r>
          </w:p>
        </w:tc>
        <w:tc>
          <w:tcPr>
            <w:tcW w:w="8730" w:type="dxa"/>
            <w:shd w:val="clear" w:color="auto" w:fill="FFFFFF"/>
          </w:tcPr>
          <w:p w:rsidR="00BA2BD9" w:rsidRDefault="00BA2BD9">
            <w:r>
              <w:t xml:space="preserve">Critical Peak Price (Day ahead pricing variation to </w:t>
            </w:r>
            <w:proofErr w:type="spellStart"/>
            <w:r>
              <w:t>ToU</w:t>
            </w:r>
            <w:proofErr w:type="spellEnd"/>
            <w:r>
              <w:t xml:space="preserve"> that may adjustments only be during peak load periods)</w:t>
            </w:r>
          </w:p>
        </w:tc>
      </w:tr>
      <w:tr w:rsidR="00BA2BD9" w:rsidTr="000D12D2">
        <w:trPr>
          <w:jc w:val="center"/>
        </w:trPr>
        <w:tc>
          <w:tcPr>
            <w:tcW w:w="2520" w:type="dxa"/>
          </w:tcPr>
          <w:p w:rsidR="00BA2BD9" w:rsidRDefault="00BA2BD9">
            <w:r>
              <w:t>DER</w:t>
            </w:r>
          </w:p>
        </w:tc>
        <w:tc>
          <w:tcPr>
            <w:tcW w:w="8730" w:type="dxa"/>
            <w:shd w:val="clear" w:color="auto" w:fill="FFFFFF"/>
          </w:tcPr>
          <w:p w:rsidR="00BA2BD9" w:rsidRDefault="00BA2BD9">
            <w:r>
              <w:t>Distributed Energy Transfer</w:t>
            </w:r>
          </w:p>
        </w:tc>
      </w:tr>
      <w:tr w:rsidR="00BA2BD9" w:rsidTr="000D12D2">
        <w:trPr>
          <w:jc w:val="center"/>
        </w:trPr>
        <w:tc>
          <w:tcPr>
            <w:tcW w:w="2520" w:type="dxa"/>
          </w:tcPr>
          <w:p w:rsidR="00BA2BD9" w:rsidRDefault="00BA2BD9">
            <w:r>
              <w:t>DR</w:t>
            </w:r>
          </w:p>
        </w:tc>
        <w:tc>
          <w:tcPr>
            <w:tcW w:w="8730" w:type="dxa"/>
            <w:shd w:val="clear" w:color="auto" w:fill="FFFFFF"/>
          </w:tcPr>
          <w:p w:rsidR="00BA2BD9" w:rsidRDefault="00BA2BD9">
            <w:r>
              <w:t>Demand Response</w:t>
            </w:r>
          </w:p>
        </w:tc>
      </w:tr>
      <w:tr w:rsidR="006C3B38" w:rsidTr="000D12D2">
        <w:trPr>
          <w:jc w:val="center"/>
        </w:trPr>
        <w:tc>
          <w:tcPr>
            <w:tcW w:w="2520" w:type="dxa"/>
          </w:tcPr>
          <w:p w:rsidR="006C3B38" w:rsidRDefault="006C3B38">
            <w:r>
              <w:t>EVSE</w:t>
            </w:r>
          </w:p>
        </w:tc>
        <w:tc>
          <w:tcPr>
            <w:tcW w:w="8730" w:type="dxa"/>
            <w:shd w:val="clear" w:color="auto" w:fill="FFFFFF"/>
          </w:tcPr>
          <w:p w:rsidR="006C3B38" w:rsidRDefault="006C3B38">
            <w:r>
              <w:t>Electric Vehicle Supply Equipment. The device that connects to the PEV and grid for charging/discharging the PEV.</w:t>
            </w:r>
          </w:p>
        </w:tc>
      </w:tr>
      <w:tr w:rsidR="006C3B38" w:rsidTr="000D12D2">
        <w:trPr>
          <w:jc w:val="center"/>
        </w:trPr>
        <w:tc>
          <w:tcPr>
            <w:tcW w:w="2520" w:type="dxa"/>
          </w:tcPr>
          <w:p w:rsidR="006C3B38" w:rsidRDefault="006C3B38">
            <w:r>
              <w:t>EMS</w:t>
            </w:r>
          </w:p>
        </w:tc>
        <w:tc>
          <w:tcPr>
            <w:tcW w:w="8730" w:type="dxa"/>
            <w:shd w:val="clear" w:color="auto" w:fill="FFFFFF"/>
          </w:tcPr>
          <w:p w:rsidR="006C3B38" w:rsidRDefault="006C3B38">
            <w:r>
              <w:t>Energy Management System</w:t>
            </w:r>
          </w:p>
        </w:tc>
      </w:tr>
      <w:tr w:rsidR="00BA2BD9" w:rsidTr="000D12D2">
        <w:trPr>
          <w:jc w:val="center"/>
        </w:trPr>
        <w:tc>
          <w:tcPr>
            <w:tcW w:w="2520" w:type="dxa"/>
          </w:tcPr>
          <w:p w:rsidR="00BA2BD9" w:rsidRDefault="00BA2BD9">
            <w:proofErr w:type="spellStart"/>
            <w:r>
              <w:t>FlowReservation</w:t>
            </w:r>
            <w:proofErr w:type="spellEnd"/>
          </w:p>
        </w:tc>
        <w:tc>
          <w:tcPr>
            <w:tcW w:w="8730" w:type="dxa"/>
            <w:shd w:val="clear" w:color="auto" w:fill="FFFFFF"/>
          </w:tcPr>
          <w:p w:rsidR="00BA2BD9" w:rsidRDefault="00BA2BD9">
            <w:r>
              <w:t>TCIN, power level and energy required for a charging session. This is initial information and dynamically updated during the charging event</w:t>
            </w:r>
          </w:p>
        </w:tc>
      </w:tr>
      <w:tr w:rsidR="00BA2BD9" w:rsidTr="000D12D2">
        <w:trPr>
          <w:jc w:val="center"/>
        </w:trPr>
        <w:tc>
          <w:tcPr>
            <w:tcW w:w="2520" w:type="dxa"/>
          </w:tcPr>
          <w:p w:rsidR="00BA2BD9" w:rsidRDefault="00BA2BD9">
            <w:r>
              <w:t>PEV</w:t>
            </w:r>
          </w:p>
        </w:tc>
        <w:tc>
          <w:tcPr>
            <w:tcW w:w="8730" w:type="dxa"/>
            <w:shd w:val="clear" w:color="auto" w:fill="FFFFFF"/>
          </w:tcPr>
          <w:p w:rsidR="00BA2BD9" w:rsidRDefault="00BA2BD9">
            <w:r>
              <w:t>Plug-in Electric Vehicle. Either Battery Electric (BEV) or Plug-in Hybrid (PHEV).</w:t>
            </w:r>
          </w:p>
        </w:tc>
      </w:tr>
      <w:tr w:rsidR="00BA2BD9" w:rsidTr="000D12D2">
        <w:trPr>
          <w:jc w:val="center"/>
        </w:trPr>
        <w:tc>
          <w:tcPr>
            <w:tcW w:w="2520" w:type="dxa"/>
          </w:tcPr>
          <w:p w:rsidR="00BA2BD9" w:rsidRDefault="00BA2BD9">
            <w:r>
              <w:t>RTP</w:t>
            </w:r>
          </w:p>
        </w:tc>
        <w:tc>
          <w:tcPr>
            <w:tcW w:w="8730" w:type="dxa"/>
            <w:shd w:val="clear" w:color="auto" w:fill="FFFFFF"/>
          </w:tcPr>
          <w:p w:rsidR="00BA2BD9" w:rsidRDefault="00BA2BD9">
            <w:r>
              <w:t xml:space="preserve">Real Time Price (5 to 15 minute ahead pricing variation to </w:t>
            </w:r>
            <w:proofErr w:type="spellStart"/>
            <w:r>
              <w:t>ToU</w:t>
            </w:r>
            <w:proofErr w:type="spellEnd"/>
            <w:r>
              <w:t xml:space="preserve"> or CPP that may adjust in either positive or negative values). Negative price would occur when excess energy is available where using this during these periods for charging vehicles helps stabilize the grid.</w:t>
            </w:r>
          </w:p>
        </w:tc>
      </w:tr>
      <w:tr w:rsidR="006C3B38" w:rsidTr="000D12D2">
        <w:trPr>
          <w:jc w:val="center"/>
        </w:trPr>
        <w:tc>
          <w:tcPr>
            <w:tcW w:w="2520" w:type="dxa"/>
          </w:tcPr>
          <w:p w:rsidR="006C3B38" w:rsidRDefault="006C3B38">
            <w:proofErr w:type="spellStart"/>
            <w:r>
              <w:t>SoC</w:t>
            </w:r>
            <w:proofErr w:type="spellEnd"/>
          </w:p>
        </w:tc>
        <w:tc>
          <w:tcPr>
            <w:tcW w:w="8730" w:type="dxa"/>
            <w:shd w:val="clear" w:color="auto" w:fill="FFFFFF"/>
          </w:tcPr>
          <w:p w:rsidR="006C3B38" w:rsidRDefault="006C3B38">
            <w:r>
              <w:t>State of Charge of the PEV HV battery</w:t>
            </w:r>
          </w:p>
        </w:tc>
      </w:tr>
      <w:tr w:rsidR="00667AB3" w:rsidTr="000D12D2">
        <w:trPr>
          <w:jc w:val="center"/>
        </w:trPr>
        <w:tc>
          <w:tcPr>
            <w:tcW w:w="2520" w:type="dxa"/>
          </w:tcPr>
          <w:p w:rsidR="00667AB3" w:rsidRDefault="00BA2BD9">
            <w:pPr>
              <w:contextualSpacing w:val="0"/>
            </w:pPr>
            <w:r>
              <w:t>Time Charge Is Needed</w:t>
            </w:r>
          </w:p>
        </w:tc>
        <w:tc>
          <w:tcPr>
            <w:tcW w:w="8730" w:type="dxa"/>
            <w:shd w:val="clear" w:color="auto" w:fill="FFFFFF"/>
          </w:tcPr>
          <w:p w:rsidR="00667AB3" w:rsidRDefault="00BA2BD9">
            <w:pPr>
              <w:contextualSpacing w:val="0"/>
            </w:pPr>
            <w:r>
              <w:t>Time the customer needs to use their vehicle next (Initial TCIN) and adjusted to the time at the end of the energy session selected (Actual TCIN).</w:t>
            </w:r>
          </w:p>
        </w:tc>
      </w:tr>
      <w:tr w:rsidR="00BA2BD9" w:rsidTr="000D12D2">
        <w:trPr>
          <w:jc w:val="center"/>
        </w:trPr>
        <w:tc>
          <w:tcPr>
            <w:tcW w:w="2520" w:type="dxa"/>
          </w:tcPr>
          <w:p w:rsidR="00BA2BD9" w:rsidRDefault="00BA2BD9">
            <w:proofErr w:type="spellStart"/>
            <w:r>
              <w:t>ToU</w:t>
            </w:r>
            <w:proofErr w:type="spellEnd"/>
          </w:p>
        </w:tc>
        <w:tc>
          <w:tcPr>
            <w:tcW w:w="8730" w:type="dxa"/>
            <w:shd w:val="clear" w:color="auto" w:fill="FFFFFF"/>
          </w:tcPr>
          <w:p w:rsidR="00BA2BD9" w:rsidRDefault="00BA2BD9">
            <w:r>
              <w:t>Time of Use Price (year ahead price schedule)</w:t>
            </w:r>
          </w:p>
        </w:tc>
      </w:tr>
      <w:tr w:rsidR="006C3B38" w:rsidTr="000D12D2">
        <w:trPr>
          <w:jc w:val="center"/>
        </w:trPr>
        <w:tc>
          <w:tcPr>
            <w:tcW w:w="2520" w:type="dxa"/>
          </w:tcPr>
          <w:p w:rsidR="006C3B38" w:rsidRDefault="006C3B38">
            <w:r>
              <w:t>V2G</w:t>
            </w:r>
          </w:p>
        </w:tc>
        <w:tc>
          <w:tcPr>
            <w:tcW w:w="8730" w:type="dxa"/>
            <w:shd w:val="clear" w:color="auto" w:fill="FFFFFF"/>
          </w:tcPr>
          <w:p w:rsidR="006C3B38" w:rsidRDefault="006C3B38">
            <w:r>
              <w:t>Vehicle to Grid. Reverse power flow for Standard functions and advanced features including Frequency regulation, Volt/</w:t>
            </w:r>
            <w:proofErr w:type="spellStart"/>
            <w:r>
              <w:t>Var</w:t>
            </w:r>
            <w:proofErr w:type="spellEnd"/>
            <w:r>
              <w:t xml:space="preserve"> control, etc.</w:t>
            </w:r>
          </w:p>
        </w:tc>
      </w:tr>
    </w:tbl>
    <w:p w:rsidR="00667AB3" w:rsidRDefault="00667AB3"/>
    <w:sectPr w:rsidR="00667AB3" w:rsidSect="000D12D2">
      <w:pgSz w:w="15840" w:h="12240" w:orient="landscape"/>
      <w:pgMar w:top="1440" w:right="1440" w:bottom="1440" w:left="1440" w:header="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C7F76"/>
    <w:multiLevelType w:val="hybridMultilevel"/>
    <w:tmpl w:val="4E162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0331BD"/>
    <w:multiLevelType w:val="singleLevel"/>
    <w:tmpl w:val="24065B82"/>
    <w:lvl w:ilvl="0">
      <w:numFmt w:val="bullet"/>
      <w:pStyle w:val="EPRISubBulletedList"/>
      <w:lvlText w:val=""/>
      <w:legacy w:legacy="1" w:legacySpace="0" w:legacyIndent="360"/>
      <w:lvlJc w:val="left"/>
      <w:rPr>
        <w:rFonts w:ascii="Symbol" w:hAnsi="Symbol" w:hint="default"/>
      </w:rPr>
    </w:lvl>
  </w:abstractNum>
  <w:abstractNum w:abstractNumId="2">
    <w:nsid w:val="5F5210B6"/>
    <w:multiLevelType w:val="hybridMultilevel"/>
    <w:tmpl w:val="EE303F4C"/>
    <w:lvl w:ilvl="0" w:tplc="415A7C76">
      <w:start w:val="1"/>
      <w:numFmt w:val="bullet"/>
      <w:pStyle w:val="EPRIRSBulletedList"/>
      <w:lvlText w:val=""/>
      <w:lvlJc w:val="left"/>
      <w:pPr>
        <w:tabs>
          <w:tab w:val="num" w:pos="360"/>
        </w:tabs>
        <w:ind w:left="360" w:hanging="360"/>
      </w:pPr>
      <w:rPr>
        <w:rFonts w:ascii="Symbol" w:hAnsi="Symbol" w:hint="default"/>
      </w:rPr>
    </w:lvl>
    <w:lvl w:ilvl="1" w:tplc="4508BD9C">
      <w:start w:val="1"/>
      <w:numFmt w:val="bullet"/>
      <w:lvlText w:val="­"/>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667AB3"/>
    <w:rsid w:val="00055B4C"/>
    <w:rsid w:val="000D12D2"/>
    <w:rsid w:val="00155FE2"/>
    <w:rsid w:val="004B0603"/>
    <w:rsid w:val="00513F52"/>
    <w:rsid w:val="00534E82"/>
    <w:rsid w:val="006034B2"/>
    <w:rsid w:val="00667AB3"/>
    <w:rsid w:val="006C3B38"/>
    <w:rsid w:val="0080595B"/>
    <w:rsid w:val="009A1199"/>
    <w:rsid w:val="009F5E67"/>
    <w:rsid w:val="00A2784E"/>
    <w:rsid w:val="00BA2BD9"/>
    <w:rsid w:val="00C81AD8"/>
    <w:rsid w:val="00CB43C0"/>
    <w:rsid w:val="00CC655E"/>
    <w:rsid w:val="00F12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4"/>
        <w:szCs w:val="24"/>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outlineLvl w:val="0"/>
    </w:pPr>
    <w:rPr>
      <w:color w:val="2F5496"/>
      <w:sz w:val="32"/>
      <w:szCs w:val="32"/>
    </w:rPr>
  </w:style>
  <w:style w:type="paragraph" w:styleId="Heading2">
    <w:name w:val="heading 2"/>
    <w:basedOn w:val="Normal"/>
    <w:next w:val="Normal"/>
    <w:pPr>
      <w:keepNext/>
      <w:keepLines/>
      <w:spacing w:before="40"/>
      <w:outlineLvl w:val="1"/>
    </w:pPr>
    <w:rPr>
      <w:color w:val="2F5496"/>
      <w:sz w:val="26"/>
      <w:szCs w:val="2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sz w:val="56"/>
      <w:szCs w:val="56"/>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 w:type="paragraph" w:customStyle="1" w:styleId="EPRIBulletedList">
    <w:name w:val="EPRI Bulleted List"/>
    <w:basedOn w:val="EPRIRSBulletedList"/>
    <w:rsid w:val="00513F52"/>
    <w:pPr>
      <w:spacing w:after="120"/>
    </w:pPr>
  </w:style>
  <w:style w:type="paragraph" w:customStyle="1" w:styleId="EPRIRSBulletedList">
    <w:name w:val="EPRI RS Bulleted List"/>
    <w:basedOn w:val="Normal"/>
    <w:rsid w:val="00513F52"/>
    <w:pPr>
      <w:widowControl/>
      <w:numPr>
        <w:numId w:val="1"/>
      </w:numPr>
      <w:spacing w:after="140"/>
    </w:pPr>
    <w:rPr>
      <w:rFonts w:ascii="Times" w:eastAsia="Times New Roman" w:hAnsi="Times" w:cs="Times New Roman"/>
      <w:color w:val="auto"/>
      <w:szCs w:val="20"/>
    </w:rPr>
  </w:style>
  <w:style w:type="paragraph" w:customStyle="1" w:styleId="EPRISubBulletedList">
    <w:name w:val="EPRI Sub Bulleted List"/>
    <w:rsid w:val="00513F52"/>
    <w:pPr>
      <w:widowControl/>
      <w:numPr>
        <w:numId w:val="2"/>
      </w:numPr>
      <w:tabs>
        <w:tab w:val="num" w:pos="360"/>
      </w:tabs>
      <w:spacing w:after="120"/>
      <w:ind w:left="1080" w:hanging="360"/>
    </w:pPr>
    <w:rPr>
      <w:rFonts w:ascii="Tms Rmn" w:eastAsia="Times New Roman" w:hAnsi="Tms Rmn" w:cs="Times New Roman"/>
      <w:color w:val="auto"/>
      <w:szCs w:val="20"/>
    </w:rPr>
  </w:style>
  <w:style w:type="paragraph" w:styleId="ListParagraph">
    <w:name w:val="List Paragraph"/>
    <w:basedOn w:val="Normal"/>
    <w:uiPriority w:val="34"/>
    <w:qFormat/>
    <w:rsid w:val="00A2784E"/>
    <w:pPr>
      <w:ind w:left="720"/>
      <w:contextualSpacing/>
    </w:pPr>
  </w:style>
  <w:style w:type="paragraph" w:styleId="BalloonText">
    <w:name w:val="Balloon Text"/>
    <w:basedOn w:val="Normal"/>
    <w:link w:val="BalloonTextChar"/>
    <w:uiPriority w:val="99"/>
    <w:semiHidden/>
    <w:unhideWhenUsed/>
    <w:rsid w:val="00534E82"/>
    <w:rPr>
      <w:rFonts w:ascii="Tahoma" w:hAnsi="Tahoma" w:cs="Tahoma"/>
      <w:sz w:val="16"/>
      <w:szCs w:val="16"/>
    </w:rPr>
  </w:style>
  <w:style w:type="character" w:customStyle="1" w:styleId="BalloonTextChar">
    <w:name w:val="Balloon Text Char"/>
    <w:basedOn w:val="DefaultParagraphFont"/>
    <w:link w:val="BalloonText"/>
    <w:uiPriority w:val="99"/>
    <w:semiHidden/>
    <w:rsid w:val="00534E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4"/>
        <w:szCs w:val="24"/>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outlineLvl w:val="0"/>
    </w:pPr>
    <w:rPr>
      <w:color w:val="2F5496"/>
      <w:sz w:val="32"/>
      <w:szCs w:val="32"/>
    </w:rPr>
  </w:style>
  <w:style w:type="paragraph" w:styleId="Heading2">
    <w:name w:val="heading 2"/>
    <w:basedOn w:val="Normal"/>
    <w:next w:val="Normal"/>
    <w:pPr>
      <w:keepNext/>
      <w:keepLines/>
      <w:spacing w:before="40"/>
      <w:outlineLvl w:val="1"/>
    </w:pPr>
    <w:rPr>
      <w:color w:val="2F5496"/>
      <w:sz w:val="26"/>
      <w:szCs w:val="2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sz w:val="56"/>
      <w:szCs w:val="56"/>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 w:type="paragraph" w:customStyle="1" w:styleId="EPRIBulletedList">
    <w:name w:val="EPRI Bulleted List"/>
    <w:basedOn w:val="EPRIRSBulletedList"/>
    <w:rsid w:val="00513F52"/>
    <w:pPr>
      <w:spacing w:after="120"/>
    </w:pPr>
  </w:style>
  <w:style w:type="paragraph" w:customStyle="1" w:styleId="EPRIRSBulletedList">
    <w:name w:val="EPRI RS Bulleted List"/>
    <w:basedOn w:val="Normal"/>
    <w:rsid w:val="00513F52"/>
    <w:pPr>
      <w:widowControl/>
      <w:numPr>
        <w:numId w:val="1"/>
      </w:numPr>
      <w:spacing w:after="140"/>
    </w:pPr>
    <w:rPr>
      <w:rFonts w:ascii="Times" w:eastAsia="Times New Roman" w:hAnsi="Times" w:cs="Times New Roman"/>
      <w:color w:val="auto"/>
      <w:szCs w:val="20"/>
    </w:rPr>
  </w:style>
  <w:style w:type="paragraph" w:customStyle="1" w:styleId="EPRISubBulletedList">
    <w:name w:val="EPRI Sub Bulleted List"/>
    <w:rsid w:val="00513F52"/>
    <w:pPr>
      <w:widowControl/>
      <w:numPr>
        <w:numId w:val="2"/>
      </w:numPr>
      <w:tabs>
        <w:tab w:val="num" w:pos="360"/>
      </w:tabs>
      <w:spacing w:after="120"/>
      <w:ind w:left="1080" w:hanging="360"/>
    </w:pPr>
    <w:rPr>
      <w:rFonts w:ascii="Tms Rmn" w:eastAsia="Times New Roman" w:hAnsi="Tms Rmn" w:cs="Times New Roman"/>
      <w:color w:val="auto"/>
      <w:szCs w:val="20"/>
    </w:rPr>
  </w:style>
  <w:style w:type="paragraph" w:styleId="ListParagraph">
    <w:name w:val="List Paragraph"/>
    <w:basedOn w:val="Normal"/>
    <w:uiPriority w:val="34"/>
    <w:qFormat/>
    <w:rsid w:val="00A2784E"/>
    <w:pPr>
      <w:ind w:left="720"/>
      <w:contextualSpacing/>
    </w:pPr>
  </w:style>
  <w:style w:type="paragraph" w:styleId="BalloonText">
    <w:name w:val="Balloon Text"/>
    <w:basedOn w:val="Normal"/>
    <w:link w:val="BalloonTextChar"/>
    <w:uiPriority w:val="99"/>
    <w:semiHidden/>
    <w:unhideWhenUsed/>
    <w:rsid w:val="00534E82"/>
    <w:rPr>
      <w:rFonts w:ascii="Tahoma" w:hAnsi="Tahoma" w:cs="Tahoma"/>
      <w:sz w:val="16"/>
      <w:szCs w:val="16"/>
    </w:rPr>
  </w:style>
  <w:style w:type="character" w:customStyle="1" w:styleId="BalloonTextChar">
    <w:name w:val="Balloon Text Char"/>
    <w:basedOn w:val="DefaultParagraphFont"/>
    <w:link w:val="BalloonText"/>
    <w:uiPriority w:val="99"/>
    <w:semiHidden/>
    <w:rsid w:val="00534E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2639</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Chrysler LLC</Company>
  <LinksUpToDate>false</LinksUpToDate>
  <CharactersWithSpaces>17647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Scholer Richard (FCA)</dc:creator>
  <cp:lastModifiedBy>Workstation User</cp:lastModifiedBy>
  <cp:revision>2</cp:revision>
  <cp:lastPrinted>2017-05-25T18:01:00Z</cp:lastPrinted>
  <dcterms:created xsi:type="dcterms:W3CDTF">2017-05-26T17:22:00Z</dcterms:created>
  <dcterms:modified xsi:type="dcterms:W3CDTF">2017-05-26T17:22:00Z</dcterms:modified>
</cp:coreProperties>
</file>